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28164" w14:textId="77777777" w:rsidR="00BB2878" w:rsidRPr="00083DC8" w:rsidRDefault="00BB2878" w:rsidP="00BB2878">
      <w:pPr>
        <w:spacing w:after="0" w:line="240" w:lineRule="auto"/>
        <w:ind w:left="426" w:hanging="568"/>
        <w:jc w:val="center"/>
        <w:rPr>
          <w:rFonts w:ascii="Tw Cen MT" w:hAnsi="Tw Cen MT" w:cs="Calibri"/>
          <w:b/>
          <w:bCs/>
          <w:color w:val="002060"/>
          <w:sz w:val="24"/>
          <w:szCs w:val="24"/>
        </w:rPr>
      </w:pPr>
      <w:bookmarkStart w:id="0" w:name="_Hlk217628145"/>
      <w:bookmarkStart w:id="1" w:name="_Hlk218756303"/>
      <w:r w:rsidRPr="00083DC8">
        <w:rPr>
          <w:rFonts w:ascii="Tw Cen MT" w:hAnsi="Tw Cen MT" w:cs="Calibri"/>
          <w:b/>
          <w:bCs/>
          <w:color w:val="002060"/>
          <w:sz w:val="24"/>
          <w:szCs w:val="24"/>
        </w:rPr>
        <w:t>BASIN AÇIKLAMASI</w:t>
      </w:r>
    </w:p>
    <w:p w14:paraId="495AAB00" w14:textId="77777777" w:rsidR="00BB2878" w:rsidRPr="00083DC8" w:rsidRDefault="00BB2878" w:rsidP="00BB2878">
      <w:pPr>
        <w:pStyle w:val="ListParagraph"/>
        <w:spacing w:after="0" w:line="240" w:lineRule="auto"/>
        <w:ind w:left="426" w:hanging="568"/>
        <w:jc w:val="right"/>
        <w:rPr>
          <w:rFonts w:ascii="Tw Cen MT" w:hAnsi="Tw Cen MT" w:cs="Calibri"/>
          <w:b/>
          <w:bCs/>
          <w:color w:val="002060"/>
          <w:sz w:val="24"/>
          <w:szCs w:val="24"/>
        </w:rPr>
      </w:pPr>
    </w:p>
    <w:p w14:paraId="365EF864" w14:textId="03642706" w:rsidR="00BB2878" w:rsidRPr="00083DC8" w:rsidRDefault="00BB2878" w:rsidP="00BB2878">
      <w:pPr>
        <w:pStyle w:val="ListParagraph"/>
        <w:spacing w:after="0" w:line="240" w:lineRule="auto"/>
        <w:ind w:left="426" w:hanging="568"/>
        <w:jc w:val="right"/>
        <w:rPr>
          <w:rFonts w:ascii="Tw Cen MT" w:hAnsi="Tw Cen MT" w:cs="Calibri"/>
          <w:b/>
          <w:bCs/>
          <w:color w:val="002060"/>
          <w:sz w:val="24"/>
          <w:szCs w:val="24"/>
        </w:rPr>
      </w:pPr>
      <w:r w:rsidRPr="00083DC8">
        <w:rPr>
          <w:rFonts w:cs="Calibri"/>
          <w:b/>
          <w:bCs/>
          <w:color w:val="002060"/>
          <w:sz w:val="24"/>
          <w:szCs w:val="24"/>
        </w:rPr>
        <w:t>İ</w:t>
      </w:r>
      <w:r w:rsidRPr="00083DC8">
        <w:rPr>
          <w:rFonts w:ascii="Tw Cen MT" w:hAnsi="Tw Cen MT" w:cs="Calibri"/>
          <w:b/>
          <w:bCs/>
          <w:color w:val="002060"/>
          <w:sz w:val="24"/>
          <w:szCs w:val="24"/>
        </w:rPr>
        <w:t xml:space="preserve">stanbul, </w:t>
      </w:r>
      <w:r w:rsidR="00DE14D0">
        <w:rPr>
          <w:rFonts w:ascii="Tw Cen MT" w:hAnsi="Tw Cen MT" w:cs="Calibri"/>
          <w:b/>
          <w:bCs/>
          <w:color w:val="002060"/>
          <w:sz w:val="24"/>
          <w:szCs w:val="24"/>
        </w:rPr>
        <w:t>19</w:t>
      </w:r>
      <w:r w:rsidRPr="00083DC8">
        <w:rPr>
          <w:rFonts w:ascii="Tw Cen MT" w:hAnsi="Tw Cen MT" w:cs="Calibri"/>
          <w:b/>
          <w:bCs/>
          <w:color w:val="002060"/>
          <w:sz w:val="24"/>
          <w:szCs w:val="24"/>
        </w:rPr>
        <w:t>.</w:t>
      </w:r>
      <w:r w:rsidR="00DE14D0">
        <w:rPr>
          <w:rFonts w:ascii="Tw Cen MT" w:hAnsi="Tw Cen MT" w:cs="Calibri"/>
          <w:b/>
          <w:bCs/>
          <w:color w:val="002060"/>
          <w:sz w:val="24"/>
          <w:szCs w:val="24"/>
        </w:rPr>
        <w:t>10</w:t>
      </w:r>
      <w:r w:rsidRPr="00083DC8">
        <w:rPr>
          <w:rFonts w:ascii="Tw Cen MT" w:hAnsi="Tw Cen MT" w:cs="Calibri"/>
          <w:b/>
          <w:bCs/>
          <w:color w:val="002060"/>
          <w:sz w:val="24"/>
          <w:szCs w:val="24"/>
        </w:rPr>
        <w:t>.2026</w:t>
      </w:r>
    </w:p>
    <w:p w14:paraId="6709107F" w14:textId="77777777" w:rsidR="00BB2878" w:rsidRPr="00083DC8" w:rsidRDefault="00BB2878" w:rsidP="00BB2878">
      <w:pPr>
        <w:pStyle w:val="ListParagraph"/>
        <w:spacing w:after="0" w:line="240" w:lineRule="auto"/>
        <w:ind w:left="284"/>
        <w:jc w:val="both"/>
        <w:rPr>
          <w:rFonts w:ascii="Tw Cen MT" w:eastAsia="Times New Roman" w:hAnsi="Tw Cen MT" w:cs="Calibri"/>
          <w:color w:val="002465"/>
          <w:spacing w:val="-7"/>
          <w:sz w:val="24"/>
          <w:szCs w:val="24"/>
          <w:lang w:eastAsia="en-GB"/>
        </w:rPr>
      </w:pPr>
    </w:p>
    <w:bookmarkEnd w:id="0"/>
    <w:bookmarkEnd w:id="1"/>
    <w:p w14:paraId="1F762BE4" w14:textId="77777777" w:rsidR="00083DC8" w:rsidRPr="00083DC8" w:rsidRDefault="00083DC8" w:rsidP="00083DC8">
      <w:pPr>
        <w:numPr>
          <w:ilvl w:val="0"/>
          <w:numId w:val="15"/>
        </w:numPr>
        <w:shd w:val="clear" w:color="auto" w:fill="FFFFFF"/>
        <w:spacing w:before="100" w:beforeAutospacing="1" w:after="100" w:afterAutospacing="1" w:line="256" w:lineRule="auto"/>
        <w:ind w:left="284" w:hanging="284"/>
        <w:contextualSpacing/>
        <w:jc w:val="both"/>
        <w:rPr>
          <w:rFonts w:ascii="Tw Cen MT" w:eastAsia="Times New Roman" w:hAnsi="Tw Cen MT" w:cs="Calibri"/>
          <w:color w:val="353535"/>
          <w:sz w:val="24"/>
          <w:szCs w:val="24"/>
          <w:lang w:eastAsia="en-GB"/>
        </w:rPr>
      </w:pPr>
      <w:r w:rsidRPr="00083DC8">
        <w:rPr>
          <w:rFonts w:ascii="Tw Cen MT" w:eastAsia="Times New Roman" w:hAnsi="Tw Cen MT" w:cs="Calibri"/>
          <w:b/>
          <w:bCs/>
          <w:color w:val="002465"/>
          <w:sz w:val="24"/>
          <w:szCs w:val="24"/>
          <w:lang w:eastAsia="en-GB"/>
        </w:rPr>
        <w:t xml:space="preserve">MSCI’ </w:t>
      </w:r>
      <w:proofErr w:type="spellStart"/>
      <w:r w:rsidRPr="00083DC8">
        <w:rPr>
          <w:rFonts w:ascii="Tw Cen MT" w:eastAsia="Times New Roman" w:hAnsi="Tw Cen MT" w:cs="Calibri"/>
          <w:b/>
          <w:bCs/>
          <w:color w:val="002465"/>
          <w:sz w:val="24"/>
          <w:szCs w:val="24"/>
          <w:lang w:eastAsia="en-GB"/>
        </w:rPr>
        <w:t>nin</w:t>
      </w:r>
      <w:proofErr w:type="spellEnd"/>
      <w:r w:rsidRPr="00083DC8">
        <w:rPr>
          <w:rFonts w:ascii="Tw Cen MT" w:eastAsia="Times New Roman" w:hAnsi="Tw Cen MT" w:cs="Calibri"/>
          <w:b/>
          <w:bCs/>
          <w:color w:val="002465"/>
          <w:sz w:val="24"/>
          <w:szCs w:val="24"/>
          <w:lang w:eastAsia="en-GB"/>
        </w:rPr>
        <w:t xml:space="preserve"> Borsa </w:t>
      </w:r>
      <w:r w:rsidRPr="00083DC8">
        <w:rPr>
          <w:rFonts w:eastAsia="Times New Roman" w:cs="Calibri"/>
          <w:b/>
          <w:bCs/>
          <w:color w:val="002465"/>
          <w:sz w:val="24"/>
          <w:szCs w:val="24"/>
          <w:lang w:eastAsia="en-GB"/>
        </w:rPr>
        <w:t>İ</w:t>
      </w:r>
      <w:r w:rsidRPr="00083DC8">
        <w:rPr>
          <w:rFonts w:ascii="Tw Cen MT" w:eastAsia="Times New Roman" w:hAnsi="Tw Cen MT" w:cs="Calibri"/>
          <w:b/>
          <w:bCs/>
          <w:color w:val="002465"/>
          <w:sz w:val="24"/>
          <w:szCs w:val="24"/>
          <w:lang w:eastAsia="en-GB"/>
        </w:rPr>
        <w:t>stanbul ile ilgili karar</w:t>
      </w:r>
      <w:r w:rsidRPr="00083DC8">
        <w:rPr>
          <w:rFonts w:ascii="Tw Cen MT" w:eastAsia="Times New Roman" w:hAnsi="Tw Cen MT" w:cs="Tw Cen MT"/>
          <w:b/>
          <w:bCs/>
          <w:color w:val="002465"/>
          <w:sz w:val="24"/>
          <w:szCs w:val="24"/>
          <w:lang w:eastAsia="en-GB"/>
        </w:rPr>
        <w:t>ı</w:t>
      </w:r>
      <w:r w:rsidRPr="00083DC8">
        <w:rPr>
          <w:rFonts w:ascii="Tw Cen MT" w:eastAsia="Times New Roman" w:hAnsi="Tw Cen MT" w:cs="Calibri"/>
          <w:b/>
          <w:bCs/>
          <w:color w:val="002465"/>
          <w:sz w:val="24"/>
          <w:szCs w:val="24"/>
          <w:lang w:eastAsia="en-GB"/>
        </w:rPr>
        <w:t xml:space="preserve"> Türkiye’yi tamamen dışlama kararı de</w:t>
      </w:r>
      <w:r w:rsidRPr="00083DC8">
        <w:rPr>
          <w:rFonts w:eastAsia="Times New Roman" w:cs="Calibri"/>
          <w:b/>
          <w:bCs/>
          <w:color w:val="002465"/>
          <w:sz w:val="24"/>
          <w:szCs w:val="24"/>
          <w:lang w:eastAsia="en-GB"/>
        </w:rPr>
        <w:t>ğ</w:t>
      </w:r>
      <w:r w:rsidRPr="00083DC8">
        <w:rPr>
          <w:rFonts w:ascii="Tw Cen MT" w:eastAsia="Times New Roman" w:hAnsi="Tw Cen MT" w:cs="Calibri"/>
          <w:b/>
          <w:bCs/>
          <w:color w:val="002465"/>
          <w:sz w:val="24"/>
          <w:szCs w:val="24"/>
          <w:lang w:eastAsia="en-GB"/>
        </w:rPr>
        <w:t>ildir:</w:t>
      </w:r>
      <w:r w:rsidRPr="00083DC8">
        <w:rPr>
          <w:rFonts w:ascii="Tw Cen MT" w:eastAsia="Times New Roman" w:hAnsi="Tw Cen MT" w:cs="Calibri"/>
          <w:color w:val="002465"/>
          <w:sz w:val="24"/>
          <w:szCs w:val="24"/>
          <w:lang w:eastAsia="en-GB"/>
        </w:rPr>
        <w:t xml:space="preserve"> </w:t>
      </w:r>
      <w:r w:rsidRPr="00083DC8">
        <w:rPr>
          <w:rFonts w:ascii="Tw Cen MT" w:eastAsia="Times New Roman" w:hAnsi="Tw Cen MT" w:cs="Calibri"/>
          <w:color w:val="353535"/>
          <w:sz w:val="24"/>
          <w:szCs w:val="24"/>
          <w:lang w:eastAsia="en-GB"/>
        </w:rPr>
        <w:t xml:space="preserve">MSCI’ in Borsa </w:t>
      </w:r>
      <w:r w:rsidRPr="00083DC8">
        <w:rPr>
          <w:rFonts w:eastAsia="Times New Roman" w:cs="Calibri"/>
          <w:color w:val="353535"/>
          <w:sz w:val="24"/>
          <w:szCs w:val="24"/>
          <w:lang w:eastAsia="en-GB"/>
        </w:rPr>
        <w:t>İ</w:t>
      </w:r>
      <w:r w:rsidRPr="00083DC8">
        <w:rPr>
          <w:rFonts w:ascii="Tw Cen MT" w:eastAsia="Times New Roman" w:hAnsi="Tw Cen MT" w:cs="Calibri"/>
          <w:color w:val="353535"/>
          <w:sz w:val="24"/>
          <w:szCs w:val="24"/>
          <w:lang w:eastAsia="en-GB"/>
        </w:rPr>
        <w:t>stanbul</w:t>
      </w:r>
      <w:r w:rsidRPr="00083DC8">
        <w:rPr>
          <w:rFonts w:ascii="Tw Cen MT" w:eastAsia="Times New Roman" w:hAnsi="Tw Cen MT" w:cs="Tw Cen MT"/>
          <w:color w:val="353535"/>
          <w:sz w:val="24"/>
          <w:szCs w:val="24"/>
          <w:lang w:eastAsia="en-GB"/>
        </w:rPr>
        <w:t>’</w:t>
      </w:r>
      <w:r w:rsidRPr="00083DC8">
        <w:rPr>
          <w:rFonts w:ascii="Tw Cen MT" w:eastAsia="Times New Roman" w:hAnsi="Tw Cen MT" w:cs="Calibri"/>
          <w:color w:val="353535"/>
          <w:sz w:val="24"/>
          <w:szCs w:val="24"/>
          <w:lang w:eastAsia="en-GB"/>
        </w:rPr>
        <w:t>da endekse yeni şirket girişlerinin, mevcut şirketlerin a</w:t>
      </w:r>
      <w:r w:rsidRPr="00083DC8">
        <w:rPr>
          <w:rFonts w:eastAsia="Times New Roman" w:cs="Calibri"/>
          <w:color w:val="353535"/>
          <w:sz w:val="24"/>
          <w:szCs w:val="24"/>
          <w:lang w:eastAsia="en-GB"/>
        </w:rPr>
        <w:t>ğ</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rl</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k art</w:t>
      </w:r>
      <w:r w:rsidRPr="00083DC8">
        <w:rPr>
          <w:rFonts w:ascii="Tw Cen MT" w:eastAsia="Times New Roman" w:hAnsi="Tw Cen MT" w:cs="Tw Cen MT"/>
          <w:color w:val="353535"/>
          <w:sz w:val="24"/>
          <w:szCs w:val="24"/>
          <w:lang w:eastAsia="en-GB"/>
        </w:rPr>
        <w:t>ış</w:t>
      </w:r>
      <w:r w:rsidRPr="00083DC8">
        <w:rPr>
          <w:rFonts w:ascii="Tw Cen MT" w:eastAsia="Times New Roman" w:hAnsi="Tw Cen MT" w:cs="Calibri"/>
          <w:color w:val="353535"/>
          <w:sz w:val="24"/>
          <w:szCs w:val="24"/>
          <w:lang w:eastAsia="en-GB"/>
        </w:rPr>
        <w:t>lar</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nın ve üst endekslere geçişlerin  ikinci bir duyuruya kadar askıya alıp dondurması ve  SPK tarafından yapılacak Piyasa düzenleme ve denetiminde Haziran 2027’ye kadar yeterli ilerleme sa</w:t>
      </w:r>
      <w:r w:rsidRPr="00083DC8">
        <w:rPr>
          <w:rFonts w:eastAsia="Times New Roman" w:cs="Calibri"/>
          <w:color w:val="353535"/>
          <w:sz w:val="24"/>
          <w:szCs w:val="24"/>
          <w:lang w:eastAsia="en-GB"/>
        </w:rPr>
        <w:t>ğ</w:t>
      </w:r>
      <w:r w:rsidRPr="00083DC8">
        <w:rPr>
          <w:rFonts w:ascii="Tw Cen MT" w:eastAsia="Times New Roman" w:hAnsi="Tw Cen MT" w:cs="Calibri"/>
          <w:color w:val="353535"/>
          <w:sz w:val="24"/>
          <w:szCs w:val="24"/>
          <w:lang w:eastAsia="en-GB"/>
        </w:rPr>
        <w:t>lanamamas</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 halinde, T</w:t>
      </w:r>
      <w:r w:rsidRPr="00083DC8">
        <w:rPr>
          <w:rFonts w:ascii="Tw Cen MT" w:eastAsia="Times New Roman" w:hAnsi="Tw Cen MT" w:cs="Tw Cen MT"/>
          <w:color w:val="353535"/>
          <w:sz w:val="24"/>
          <w:szCs w:val="24"/>
          <w:lang w:eastAsia="en-GB"/>
        </w:rPr>
        <w:t>ü</w:t>
      </w:r>
      <w:r w:rsidRPr="00083DC8">
        <w:rPr>
          <w:rFonts w:ascii="Tw Cen MT" w:eastAsia="Times New Roman" w:hAnsi="Tw Cen MT" w:cs="Calibri"/>
          <w:color w:val="353535"/>
          <w:sz w:val="24"/>
          <w:szCs w:val="24"/>
          <w:lang w:eastAsia="en-GB"/>
        </w:rPr>
        <w:t>rkiye</w:t>
      </w:r>
      <w:r w:rsidRPr="00083DC8">
        <w:rPr>
          <w:rFonts w:ascii="Tw Cen MT" w:eastAsia="Times New Roman" w:hAnsi="Tw Cen MT" w:cs="Tw Cen MT"/>
          <w:color w:val="353535"/>
          <w:sz w:val="24"/>
          <w:szCs w:val="24"/>
          <w:lang w:eastAsia="en-GB"/>
        </w:rPr>
        <w:t>’</w:t>
      </w:r>
      <w:r w:rsidRPr="00083DC8">
        <w:rPr>
          <w:rFonts w:ascii="Tw Cen MT" w:eastAsia="Times New Roman" w:hAnsi="Tw Cen MT" w:cs="Calibri"/>
          <w:color w:val="353535"/>
          <w:sz w:val="24"/>
          <w:szCs w:val="24"/>
          <w:lang w:eastAsia="en-GB"/>
        </w:rPr>
        <w:t>nin "Geli</w:t>
      </w:r>
      <w:r w:rsidRPr="00083DC8">
        <w:rPr>
          <w:rFonts w:ascii="Tw Cen MT" w:eastAsia="Times New Roman" w:hAnsi="Tw Cen MT" w:cs="Tw Cen MT"/>
          <w:color w:val="353535"/>
          <w:sz w:val="24"/>
          <w:szCs w:val="24"/>
          <w:lang w:eastAsia="en-GB"/>
        </w:rPr>
        <w:t>ş</w:t>
      </w:r>
      <w:r w:rsidRPr="00083DC8">
        <w:rPr>
          <w:rFonts w:ascii="Tw Cen MT" w:eastAsia="Times New Roman" w:hAnsi="Tw Cen MT" w:cs="Calibri"/>
          <w:color w:val="353535"/>
          <w:sz w:val="24"/>
          <w:szCs w:val="24"/>
          <w:lang w:eastAsia="en-GB"/>
        </w:rPr>
        <w:t>mekte Olan Piyasa" stat</w:t>
      </w:r>
      <w:r w:rsidRPr="00083DC8">
        <w:rPr>
          <w:rFonts w:ascii="Tw Cen MT" w:eastAsia="Times New Roman" w:hAnsi="Tw Cen MT" w:cs="Tw Cen MT"/>
          <w:color w:val="353535"/>
          <w:sz w:val="24"/>
          <w:szCs w:val="24"/>
          <w:lang w:eastAsia="en-GB"/>
        </w:rPr>
        <w:t>ü</w:t>
      </w:r>
      <w:r w:rsidRPr="00083DC8">
        <w:rPr>
          <w:rFonts w:ascii="Tw Cen MT" w:eastAsia="Times New Roman" w:hAnsi="Tw Cen MT" w:cs="Calibri"/>
          <w:color w:val="353535"/>
          <w:sz w:val="24"/>
          <w:szCs w:val="24"/>
          <w:lang w:eastAsia="en-GB"/>
        </w:rPr>
        <w:t>s</w:t>
      </w:r>
      <w:r w:rsidRPr="00083DC8">
        <w:rPr>
          <w:rFonts w:ascii="Tw Cen MT" w:eastAsia="Times New Roman" w:hAnsi="Tw Cen MT" w:cs="Tw Cen MT"/>
          <w:color w:val="353535"/>
          <w:sz w:val="24"/>
          <w:szCs w:val="24"/>
          <w:lang w:eastAsia="en-GB"/>
        </w:rPr>
        <w:t>ü</w:t>
      </w:r>
      <w:r w:rsidRPr="00083DC8">
        <w:rPr>
          <w:rFonts w:ascii="Tw Cen MT" w:eastAsia="Times New Roman" w:hAnsi="Tw Cen MT" w:cs="Calibri"/>
          <w:color w:val="353535"/>
          <w:sz w:val="24"/>
          <w:szCs w:val="24"/>
          <w:lang w:eastAsia="en-GB"/>
        </w:rPr>
        <w:t xml:space="preserve">nden </w:t>
      </w:r>
      <w:r w:rsidRPr="00083DC8">
        <w:rPr>
          <w:rFonts w:ascii="Tw Cen MT" w:eastAsia="Times New Roman" w:hAnsi="Tw Cen MT" w:cs="Tw Cen MT"/>
          <w:color w:val="353535"/>
          <w:sz w:val="24"/>
          <w:szCs w:val="24"/>
          <w:lang w:eastAsia="en-GB"/>
        </w:rPr>
        <w:t>çı</w:t>
      </w:r>
      <w:r w:rsidRPr="00083DC8">
        <w:rPr>
          <w:rFonts w:ascii="Tw Cen MT" w:eastAsia="Times New Roman" w:hAnsi="Tw Cen MT" w:cs="Calibri"/>
          <w:color w:val="353535"/>
          <w:sz w:val="24"/>
          <w:szCs w:val="24"/>
          <w:lang w:eastAsia="en-GB"/>
        </w:rPr>
        <w:t>kar</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larak "S</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n</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r Piyasa</w:t>
      </w:r>
      <w:r w:rsidRPr="00083DC8">
        <w:rPr>
          <w:rFonts w:ascii="Tw Cen MT" w:eastAsia="Times New Roman" w:hAnsi="Tw Cen MT" w:cs="Calibri"/>
          <w:color w:val="353535"/>
          <w:sz w:val="24"/>
          <w:szCs w:val="24"/>
          <w:lang w:val="en-GB" w:eastAsia="en-GB"/>
        </w:rPr>
        <w:t>"</w:t>
      </w:r>
      <w:r w:rsidRPr="00083DC8">
        <w:rPr>
          <w:rFonts w:ascii="Tw Cen MT" w:eastAsia="Times New Roman" w:hAnsi="Tw Cen MT" w:cs="Calibri"/>
          <w:sz w:val="24"/>
          <w:szCs w:val="24"/>
          <w:lang w:val="en-GB" w:eastAsia="en-GB"/>
        </w:rPr>
        <w:t>(Frontier Market</w:t>
      </w:r>
      <w:r w:rsidRPr="00083DC8">
        <w:rPr>
          <w:rFonts w:ascii="Tw Cen MT" w:eastAsia="Times New Roman" w:hAnsi="Tw Cen MT" w:cs="Calibri"/>
          <w:sz w:val="24"/>
          <w:szCs w:val="24"/>
          <w:lang w:eastAsia="en-GB"/>
        </w:rPr>
        <w:t xml:space="preserve">) </w:t>
      </w:r>
      <w:r w:rsidRPr="00083DC8">
        <w:rPr>
          <w:rFonts w:ascii="Tw Cen MT" w:eastAsia="Times New Roman" w:hAnsi="Tw Cen MT" w:cs="Calibri"/>
          <w:color w:val="353535"/>
          <w:sz w:val="24"/>
          <w:szCs w:val="24"/>
          <w:lang w:eastAsia="en-GB"/>
        </w:rPr>
        <w:t>veya "Ba</w:t>
      </w:r>
      <w:r w:rsidRPr="00083DC8">
        <w:rPr>
          <w:rFonts w:eastAsia="Times New Roman" w:cs="Calibri"/>
          <w:color w:val="353535"/>
          <w:sz w:val="24"/>
          <w:szCs w:val="24"/>
          <w:lang w:eastAsia="en-GB"/>
        </w:rPr>
        <w:t>ğ</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ms</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z/Tekil Piyasa"</w:t>
      </w:r>
      <w:r w:rsidRPr="00083DC8">
        <w:rPr>
          <w:rFonts w:ascii="Tw Cen MT" w:eastAsia="Times New Roman" w:hAnsi="Tw Cen MT" w:cs="Calibri"/>
          <w:kern w:val="2"/>
          <w:sz w:val="24"/>
          <w:szCs w:val="24"/>
          <w:lang w:eastAsia="en-GB"/>
        </w:rPr>
        <w:t xml:space="preserve"> (</w:t>
      </w:r>
      <w:r w:rsidRPr="00083DC8">
        <w:rPr>
          <w:rFonts w:ascii="Tw Cen MT" w:eastAsia="Times New Roman" w:hAnsi="Tw Cen MT" w:cs="Calibri"/>
          <w:kern w:val="2"/>
          <w:sz w:val="24"/>
          <w:szCs w:val="24"/>
          <w:lang w:val="en-GB" w:eastAsia="en-GB"/>
        </w:rPr>
        <w:t>Standalone Market</w:t>
      </w:r>
      <w:r w:rsidRPr="00083DC8">
        <w:rPr>
          <w:rFonts w:ascii="Tw Cen MT" w:eastAsia="Times New Roman" w:hAnsi="Tw Cen MT" w:cs="Calibri"/>
          <w:kern w:val="2"/>
          <w:sz w:val="24"/>
          <w:szCs w:val="24"/>
          <w:lang w:eastAsia="en-GB"/>
        </w:rPr>
        <w:t>)</w:t>
      </w:r>
      <w:r w:rsidRPr="00083DC8">
        <w:rPr>
          <w:rFonts w:ascii="Tw Cen MT" w:eastAsia="Times New Roman" w:hAnsi="Tw Cen MT" w:cs="Calibri"/>
          <w:color w:val="353535"/>
          <w:sz w:val="24"/>
          <w:szCs w:val="24"/>
          <w:lang w:eastAsia="en-GB"/>
        </w:rPr>
        <w:t xml:space="preserve"> kategorisine düşürülebilece</w:t>
      </w:r>
      <w:r w:rsidRPr="00083DC8">
        <w:rPr>
          <w:rFonts w:eastAsia="Times New Roman" w:cs="Calibri"/>
          <w:color w:val="353535"/>
          <w:sz w:val="24"/>
          <w:szCs w:val="24"/>
          <w:lang w:eastAsia="en-GB"/>
        </w:rPr>
        <w:t>ğ</w:t>
      </w:r>
      <w:r w:rsidRPr="00083DC8">
        <w:rPr>
          <w:rFonts w:ascii="Tw Cen MT" w:eastAsia="Times New Roman" w:hAnsi="Tw Cen MT" w:cs="Calibri"/>
          <w:color w:val="353535"/>
          <w:sz w:val="24"/>
          <w:szCs w:val="24"/>
          <w:lang w:eastAsia="en-GB"/>
        </w:rPr>
        <w:t>i uyar</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s</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nda bulunmas</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 esasında Türkiye borsası için şimdilik bir dışlama hali olmayıp, verilen süre içerisinde yeniden gözden geçirme/izleme olana</w:t>
      </w:r>
      <w:r w:rsidRPr="00083DC8">
        <w:rPr>
          <w:rFonts w:eastAsia="Times New Roman" w:cs="Calibri"/>
          <w:color w:val="353535"/>
          <w:sz w:val="24"/>
          <w:szCs w:val="24"/>
          <w:lang w:eastAsia="en-GB"/>
        </w:rPr>
        <w:t>ğ</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 elde etmek i</w:t>
      </w:r>
      <w:r w:rsidRPr="00083DC8">
        <w:rPr>
          <w:rFonts w:ascii="Tw Cen MT" w:eastAsia="Times New Roman" w:hAnsi="Tw Cen MT" w:cs="Tw Cen MT"/>
          <w:color w:val="353535"/>
          <w:sz w:val="24"/>
          <w:szCs w:val="24"/>
          <w:lang w:eastAsia="en-GB"/>
        </w:rPr>
        <w:t>ç</w:t>
      </w:r>
      <w:r w:rsidRPr="00083DC8">
        <w:rPr>
          <w:rFonts w:ascii="Tw Cen MT" w:eastAsia="Times New Roman" w:hAnsi="Tw Cen MT" w:cs="Calibri"/>
          <w:color w:val="353535"/>
          <w:sz w:val="24"/>
          <w:szCs w:val="24"/>
          <w:lang w:eastAsia="en-GB"/>
        </w:rPr>
        <w:t>in ge</w:t>
      </w:r>
      <w:r w:rsidRPr="00083DC8">
        <w:rPr>
          <w:rFonts w:ascii="Tw Cen MT" w:eastAsia="Times New Roman" w:hAnsi="Tw Cen MT" w:cs="Tw Cen MT"/>
          <w:color w:val="353535"/>
          <w:sz w:val="24"/>
          <w:szCs w:val="24"/>
          <w:lang w:eastAsia="en-GB"/>
        </w:rPr>
        <w:t>ç</w:t>
      </w:r>
      <w:r w:rsidRPr="00083DC8">
        <w:rPr>
          <w:rFonts w:ascii="Tw Cen MT" w:eastAsia="Times New Roman" w:hAnsi="Tw Cen MT" w:cs="Calibri"/>
          <w:color w:val="353535"/>
          <w:sz w:val="24"/>
          <w:szCs w:val="24"/>
          <w:lang w:eastAsia="en-GB"/>
        </w:rPr>
        <w:t>ici bir dondurma i</w:t>
      </w:r>
      <w:r w:rsidRPr="00083DC8">
        <w:rPr>
          <w:rFonts w:ascii="Tw Cen MT" w:eastAsia="Times New Roman" w:hAnsi="Tw Cen MT" w:cs="Tw Cen MT"/>
          <w:color w:val="353535"/>
          <w:sz w:val="24"/>
          <w:szCs w:val="24"/>
          <w:lang w:eastAsia="en-GB"/>
        </w:rPr>
        <w:t>ş</w:t>
      </w:r>
      <w:r w:rsidRPr="00083DC8">
        <w:rPr>
          <w:rFonts w:ascii="Tw Cen MT" w:eastAsia="Times New Roman" w:hAnsi="Tw Cen MT" w:cs="Calibri"/>
          <w:color w:val="353535"/>
          <w:sz w:val="24"/>
          <w:szCs w:val="24"/>
          <w:lang w:eastAsia="en-GB"/>
        </w:rPr>
        <w:t>lemidir.  Yani bu bir kırmız kart de</w:t>
      </w:r>
      <w:r w:rsidRPr="00083DC8">
        <w:rPr>
          <w:rFonts w:eastAsia="Times New Roman" w:cs="Calibri"/>
          <w:color w:val="353535"/>
          <w:sz w:val="24"/>
          <w:szCs w:val="24"/>
          <w:lang w:eastAsia="en-GB"/>
        </w:rPr>
        <w:t>ğ</w:t>
      </w:r>
      <w:r w:rsidRPr="00083DC8">
        <w:rPr>
          <w:rFonts w:ascii="Tw Cen MT" w:eastAsia="Times New Roman" w:hAnsi="Tw Cen MT" w:cs="Calibri"/>
          <w:color w:val="353535"/>
          <w:sz w:val="24"/>
          <w:szCs w:val="24"/>
          <w:lang w:eastAsia="en-GB"/>
        </w:rPr>
        <w:t>il, sar</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 kartt</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r. </w:t>
      </w:r>
    </w:p>
    <w:p w14:paraId="137E7B35" w14:textId="77777777" w:rsidR="00083DC8" w:rsidRPr="00083DC8" w:rsidRDefault="00083DC8" w:rsidP="00083DC8">
      <w:pPr>
        <w:shd w:val="clear" w:color="auto" w:fill="FFFFFF"/>
        <w:spacing w:before="100" w:beforeAutospacing="1" w:after="100" w:afterAutospacing="1" w:line="256" w:lineRule="auto"/>
        <w:ind w:left="284"/>
        <w:contextualSpacing/>
        <w:jc w:val="both"/>
        <w:rPr>
          <w:rFonts w:ascii="Tw Cen MT" w:eastAsia="Times New Roman" w:hAnsi="Tw Cen MT" w:cs="Calibri"/>
          <w:color w:val="353535"/>
          <w:sz w:val="24"/>
          <w:szCs w:val="24"/>
          <w:lang w:eastAsia="en-GB"/>
        </w:rPr>
      </w:pPr>
    </w:p>
    <w:p w14:paraId="76496EA0" w14:textId="77777777" w:rsidR="00083DC8" w:rsidRPr="00083DC8" w:rsidRDefault="00083DC8" w:rsidP="00083DC8">
      <w:pPr>
        <w:numPr>
          <w:ilvl w:val="0"/>
          <w:numId w:val="15"/>
        </w:numPr>
        <w:shd w:val="clear" w:color="auto" w:fill="FFFFFF"/>
        <w:spacing w:before="100" w:beforeAutospacing="1" w:after="100" w:afterAutospacing="1" w:line="256" w:lineRule="auto"/>
        <w:ind w:left="284" w:hanging="284"/>
        <w:contextualSpacing/>
        <w:jc w:val="both"/>
        <w:rPr>
          <w:rFonts w:ascii="Tw Cen MT" w:eastAsia="Times New Roman" w:hAnsi="Tw Cen MT" w:cs="Calibri"/>
          <w:color w:val="353535"/>
          <w:sz w:val="24"/>
          <w:szCs w:val="24"/>
          <w:lang w:eastAsia="en-GB"/>
        </w:rPr>
      </w:pPr>
      <w:r w:rsidRPr="00083DC8">
        <w:rPr>
          <w:rFonts w:ascii="Tw Cen MT" w:eastAsia="Times New Roman" w:hAnsi="Tw Cen MT" w:cs="Calibri"/>
          <w:b/>
          <w:bCs/>
          <w:color w:val="002465"/>
          <w:sz w:val="24"/>
          <w:szCs w:val="24"/>
          <w:lang w:eastAsia="en-GB"/>
        </w:rPr>
        <w:t xml:space="preserve">Türkiye’nin 9 ay olarak öngörülen süreyi son gününe kadar beklemeden yapacaklarını tamamlamalı ve MSCI’ </w:t>
      </w:r>
      <w:proofErr w:type="spellStart"/>
      <w:r w:rsidRPr="00083DC8">
        <w:rPr>
          <w:rFonts w:ascii="Tw Cen MT" w:eastAsia="Times New Roman" w:hAnsi="Tw Cen MT" w:cs="Calibri"/>
          <w:b/>
          <w:bCs/>
          <w:color w:val="002465"/>
          <w:sz w:val="24"/>
          <w:szCs w:val="24"/>
          <w:lang w:eastAsia="en-GB"/>
        </w:rPr>
        <w:t>nin</w:t>
      </w:r>
      <w:proofErr w:type="spellEnd"/>
      <w:r w:rsidRPr="00083DC8">
        <w:rPr>
          <w:rFonts w:ascii="Tw Cen MT" w:eastAsia="Times New Roman" w:hAnsi="Tw Cen MT" w:cs="Calibri"/>
          <w:b/>
          <w:bCs/>
          <w:color w:val="002465"/>
          <w:sz w:val="24"/>
          <w:szCs w:val="24"/>
          <w:lang w:eastAsia="en-GB"/>
        </w:rPr>
        <w:t xml:space="preserve"> bu kararını daha erkenden kaldırmasını sa</w:t>
      </w:r>
      <w:r w:rsidRPr="00083DC8">
        <w:rPr>
          <w:rFonts w:eastAsia="Times New Roman" w:cs="Calibri"/>
          <w:b/>
          <w:bCs/>
          <w:color w:val="002465"/>
          <w:sz w:val="24"/>
          <w:szCs w:val="24"/>
          <w:lang w:eastAsia="en-GB"/>
        </w:rPr>
        <w:t>ğ</w:t>
      </w:r>
      <w:r w:rsidRPr="00083DC8">
        <w:rPr>
          <w:rFonts w:ascii="Tw Cen MT" w:eastAsia="Times New Roman" w:hAnsi="Tw Cen MT" w:cs="Calibri"/>
          <w:b/>
          <w:bCs/>
          <w:color w:val="002465"/>
          <w:sz w:val="24"/>
          <w:szCs w:val="24"/>
          <w:lang w:eastAsia="en-GB"/>
        </w:rPr>
        <w:t xml:space="preserve">lamalıdır. </w:t>
      </w:r>
      <w:r w:rsidRPr="00083DC8">
        <w:rPr>
          <w:rFonts w:ascii="Tw Cen MT" w:eastAsia="Times New Roman" w:hAnsi="Tw Cen MT" w:cs="Calibri"/>
          <w:color w:val="353535"/>
          <w:sz w:val="24"/>
          <w:szCs w:val="24"/>
          <w:lang w:eastAsia="en-GB"/>
        </w:rPr>
        <w:t>Zira yaklaşık 9 ay sürecek olan bu izleme süreci yeni yabancı yatırımcıların Türkiye’ye yönelmelerini veya mevcutların da pozisyonlarını artırmalarını karar kalkana kadar bekleteceklerdir.  9 aylık süre oldukça uzundur. Bu uzun sürede oluşacak zarar miktarı tahminlerin ötesinde büyür. Bu nedenle 9 ayı beklemeden daha erken tarihlerde (örne</w:t>
      </w:r>
      <w:r w:rsidRPr="00083DC8">
        <w:rPr>
          <w:rFonts w:eastAsia="Times New Roman" w:cs="Calibri"/>
          <w:color w:val="353535"/>
          <w:sz w:val="24"/>
          <w:szCs w:val="24"/>
          <w:lang w:eastAsia="en-GB"/>
        </w:rPr>
        <w:t>ğ</w:t>
      </w:r>
      <w:r w:rsidRPr="00083DC8">
        <w:rPr>
          <w:rFonts w:ascii="Tw Cen MT" w:eastAsia="Times New Roman" w:hAnsi="Tw Cen MT" w:cs="Calibri"/>
          <w:color w:val="353535"/>
          <w:sz w:val="24"/>
          <w:szCs w:val="24"/>
          <w:lang w:eastAsia="en-GB"/>
        </w:rPr>
        <w:t>in 2026 y</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l</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 sonuna kadara) endeks oluşturucuların ikna olacakları çözümler bulunması şarttır. Düzenleyici otoritenin çözüm konusunda gecikmesi maliyetleri artıracaktır.    </w:t>
      </w:r>
    </w:p>
    <w:p w14:paraId="7A25F02D" w14:textId="77777777" w:rsidR="00083DC8" w:rsidRPr="00083DC8" w:rsidRDefault="00083DC8" w:rsidP="00083DC8">
      <w:pPr>
        <w:spacing w:after="160" w:line="259" w:lineRule="auto"/>
        <w:ind w:left="720"/>
        <w:contextualSpacing/>
        <w:rPr>
          <w:rFonts w:ascii="Tw Cen MT" w:eastAsia="Times New Roman" w:hAnsi="Tw Cen MT" w:cs="Calibri"/>
          <w:color w:val="353535"/>
          <w:sz w:val="24"/>
          <w:szCs w:val="24"/>
          <w:lang w:eastAsia="en-GB"/>
        </w:rPr>
      </w:pPr>
    </w:p>
    <w:p w14:paraId="1C7BD886" w14:textId="77777777" w:rsidR="00083DC8" w:rsidRPr="00083DC8" w:rsidRDefault="00083DC8" w:rsidP="00083DC8">
      <w:pPr>
        <w:numPr>
          <w:ilvl w:val="0"/>
          <w:numId w:val="15"/>
        </w:numPr>
        <w:spacing w:before="100" w:beforeAutospacing="1" w:after="0" w:line="256" w:lineRule="auto"/>
        <w:ind w:left="284" w:hanging="284"/>
        <w:contextualSpacing/>
        <w:jc w:val="both"/>
        <w:rPr>
          <w:rFonts w:ascii="Tw Cen MT" w:eastAsia="Times New Roman" w:hAnsi="Tw Cen MT" w:cs="Calibri"/>
          <w:sz w:val="24"/>
          <w:szCs w:val="24"/>
          <w:lang w:eastAsia="en-GB"/>
        </w:rPr>
      </w:pPr>
      <w:r w:rsidRPr="00083DC8">
        <w:rPr>
          <w:rFonts w:ascii="Tw Cen MT" w:eastAsia="Times New Roman" w:hAnsi="Tw Cen MT" w:cs="Calibri"/>
          <w:b/>
          <w:bCs/>
          <w:color w:val="002465"/>
          <w:kern w:val="2"/>
          <w:sz w:val="24"/>
          <w:szCs w:val="24"/>
          <w:lang w:eastAsia="en-GB"/>
        </w:rPr>
        <w:t>Arjantin ve Endonezya</w:t>
      </w:r>
      <w:r w:rsidRPr="00083DC8">
        <w:rPr>
          <w:rFonts w:ascii="Tw Cen MT" w:eastAsia="Times New Roman" w:hAnsi="Tw Cen MT" w:cs="Calibri"/>
          <w:b/>
          <w:bCs/>
          <w:color w:val="002465"/>
          <w:sz w:val="24"/>
          <w:szCs w:val="24"/>
          <w:lang w:eastAsia="en-GB"/>
        </w:rPr>
        <w:t xml:space="preserve"> örnekleri, MSCI uyarılarının bir "blöf" olmadı</w:t>
      </w:r>
      <w:r w:rsidRPr="00083DC8">
        <w:rPr>
          <w:rFonts w:eastAsia="Times New Roman" w:cs="Calibri"/>
          <w:b/>
          <w:bCs/>
          <w:color w:val="002465"/>
          <w:sz w:val="24"/>
          <w:szCs w:val="24"/>
          <w:lang w:eastAsia="en-GB"/>
        </w:rPr>
        <w:t>ğ</w:t>
      </w:r>
      <w:r w:rsidRPr="00083DC8">
        <w:rPr>
          <w:rFonts w:ascii="Tw Cen MT" w:eastAsia="Times New Roman" w:hAnsi="Tw Cen MT" w:cs="Tw Cen MT"/>
          <w:b/>
          <w:bCs/>
          <w:color w:val="002465"/>
          <w:sz w:val="24"/>
          <w:szCs w:val="24"/>
          <w:lang w:eastAsia="en-GB"/>
        </w:rPr>
        <w:t>ı</w:t>
      </w:r>
      <w:r w:rsidRPr="00083DC8">
        <w:rPr>
          <w:rFonts w:ascii="Tw Cen MT" w:eastAsia="Times New Roman" w:hAnsi="Tw Cen MT" w:cs="Calibri"/>
          <w:b/>
          <w:bCs/>
          <w:color w:val="002465"/>
          <w:sz w:val="24"/>
          <w:szCs w:val="24"/>
          <w:lang w:eastAsia="en-GB"/>
        </w:rPr>
        <w:t>n</w:t>
      </w:r>
      <w:r w:rsidRPr="00083DC8">
        <w:rPr>
          <w:rFonts w:ascii="Tw Cen MT" w:eastAsia="Times New Roman" w:hAnsi="Tw Cen MT" w:cs="Tw Cen MT"/>
          <w:b/>
          <w:bCs/>
          <w:color w:val="002465"/>
          <w:sz w:val="24"/>
          <w:szCs w:val="24"/>
          <w:lang w:eastAsia="en-GB"/>
        </w:rPr>
        <w:t>ı</w:t>
      </w:r>
      <w:r w:rsidRPr="00083DC8">
        <w:rPr>
          <w:rFonts w:ascii="Tw Cen MT" w:eastAsia="Times New Roman" w:hAnsi="Tw Cen MT" w:cs="Calibri"/>
          <w:b/>
          <w:bCs/>
          <w:color w:val="002465"/>
          <w:sz w:val="24"/>
          <w:szCs w:val="24"/>
          <w:lang w:eastAsia="en-GB"/>
        </w:rPr>
        <w:t>n, yapısal birer alarm niteli</w:t>
      </w:r>
      <w:r w:rsidRPr="00083DC8">
        <w:rPr>
          <w:rFonts w:eastAsia="Times New Roman" w:cs="Calibri"/>
          <w:b/>
          <w:bCs/>
          <w:color w:val="002465"/>
          <w:sz w:val="24"/>
          <w:szCs w:val="24"/>
          <w:lang w:eastAsia="en-GB"/>
        </w:rPr>
        <w:t>ğ</w:t>
      </w:r>
      <w:r w:rsidRPr="00083DC8">
        <w:rPr>
          <w:rFonts w:ascii="Tw Cen MT" w:eastAsia="Times New Roman" w:hAnsi="Tw Cen MT" w:cs="Calibri"/>
          <w:b/>
          <w:bCs/>
          <w:color w:val="002465"/>
          <w:sz w:val="24"/>
          <w:szCs w:val="24"/>
          <w:lang w:eastAsia="en-GB"/>
        </w:rPr>
        <w:t>i ta</w:t>
      </w:r>
      <w:r w:rsidRPr="00083DC8">
        <w:rPr>
          <w:rFonts w:ascii="Tw Cen MT" w:eastAsia="Times New Roman" w:hAnsi="Tw Cen MT" w:cs="Tw Cen MT"/>
          <w:b/>
          <w:bCs/>
          <w:color w:val="002465"/>
          <w:sz w:val="24"/>
          <w:szCs w:val="24"/>
          <w:lang w:eastAsia="en-GB"/>
        </w:rPr>
        <w:t>şı</w:t>
      </w:r>
      <w:r w:rsidRPr="00083DC8">
        <w:rPr>
          <w:rFonts w:ascii="Tw Cen MT" w:eastAsia="Times New Roman" w:hAnsi="Tw Cen MT" w:cs="Calibri"/>
          <w:b/>
          <w:bCs/>
          <w:color w:val="002465"/>
          <w:sz w:val="24"/>
          <w:szCs w:val="24"/>
          <w:lang w:eastAsia="en-GB"/>
        </w:rPr>
        <w:t>d</w:t>
      </w:r>
      <w:r w:rsidRPr="00083DC8">
        <w:rPr>
          <w:rFonts w:ascii="Tw Cen MT" w:eastAsia="Times New Roman" w:hAnsi="Tw Cen MT" w:cs="Tw Cen MT"/>
          <w:b/>
          <w:bCs/>
          <w:color w:val="002465"/>
          <w:sz w:val="24"/>
          <w:szCs w:val="24"/>
          <w:lang w:eastAsia="en-GB"/>
        </w:rPr>
        <w:t>ı</w:t>
      </w:r>
      <w:r w:rsidRPr="00083DC8">
        <w:rPr>
          <w:rFonts w:eastAsia="Times New Roman" w:cs="Calibri"/>
          <w:b/>
          <w:bCs/>
          <w:color w:val="002465"/>
          <w:sz w:val="24"/>
          <w:szCs w:val="24"/>
          <w:lang w:eastAsia="en-GB"/>
        </w:rPr>
        <w:t>ğ</w:t>
      </w:r>
      <w:r w:rsidRPr="00083DC8">
        <w:rPr>
          <w:rFonts w:ascii="Tw Cen MT" w:eastAsia="Times New Roman" w:hAnsi="Tw Cen MT" w:cs="Tw Cen MT"/>
          <w:b/>
          <w:bCs/>
          <w:color w:val="002465"/>
          <w:sz w:val="24"/>
          <w:szCs w:val="24"/>
          <w:lang w:eastAsia="en-GB"/>
        </w:rPr>
        <w:t>ı</w:t>
      </w:r>
      <w:r w:rsidRPr="00083DC8">
        <w:rPr>
          <w:rFonts w:ascii="Tw Cen MT" w:eastAsia="Times New Roman" w:hAnsi="Tw Cen MT" w:cs="Calibri"/>
          <w:b/>
          <w:bCs/>
          <w:color w:val="002465"/>
          <w:sz w:val="24"/>
          <w:szCs w:val="24"/>
          <w:lang w:eastAsia="en-GB"/>
        </w:rPr>
        <w:t>n</w:t>
      </w:r>
      <w:r w:rsidRPr="00083DC8">
        <w:rPr>
          <w:rFonts w:ascii="Tw Cen MT" w:eastAsia="Times New Roman" w:hAnsi="Tw Cen MT" w:cs="Tw Cen MT"/>
          <w:b/>
          <w:bCs/>
          <w:color w:val="002465"/>
          <w:sz w:val="24"/>
          <w:szCs w:val="24"/>
          <w:lang w:eastAsia="en-GB"/>
        </w:rPr>
        <w:t>ı</w:t>
      </w:r>
      <w:r w:rsidRPr="00083DC8">
        <w:rPr>
          <w:rFonts w:ascii="Tw Cen MT" w:eastAsia="Times New Roman" w:hAnsi="Tw Cen MT" w:cs="Calibri"/>
          <w:b/>
          <w:bCs/>
          <w:color w:val="002465"/>
          <w:sz w:val="24"/>
          <w:szCs w:val="24"/>
          <w:lang w:eastAsia="en-GB"/>
        </w:rPr>
        <w:t xml:space="preserve">n en </w:t>
      </w:r>
      <w:r w:rsidRPr="00083DC8">
        <w:rPr>
          <w:rFonts w:ascii="Tw Cen MT" w:eastAsia="Times New Roman" w:hAnsi="Tw Cen MT" w:cs="Tw Cen MT"/>
          <w:b/>
          <w:bCs/>
          <w:color w:val="002465"/>
          <w:sz w:val="24"/>
          <w:szCs w:val="24"/>
          <w:lang w:eastAsia="en-GB"/>
        </w:rPr>
        <w:t>ö</w:t>
      </w:r>
      <w:r w:rsidRPr="00083DC8">
        <w:rPr>
          <w:rFonts w:ascii="Tw Cen MT" w:eastAsia="Times New Roman" w:hAnsi="Tw Cen MT" w:cs="Calibri"/>
          <w:b/>
          <w:bCs/>
          <w:color w:val="002465"/>
          <w:sz w:val="24"/>
          <w:szCs w:val="24"/>
          <w:lang w:eastAsia="en-GB"/>
        </w:rPr>
        <w:t>nemli g</w:t>
      </w:r>
      <w:r w:rsidRPr="00083DC8">
        <w:rPr>
          <w:rFonts w:ascii="Tw Cen MT" w:eastAsia="Times New Roman" w:hAnsi="Tw Cen MT" w:cs="Tw Cen MT"/>
          <w:b/>
          <w:bCs/>
          <w:color w:val="002465"/>
          <w:sz w:val="24"/>
          <w:szCs w:val="24"/>
          <w:lang w:eastAsia="en-GB"/>
        </w:rPr>
        <w:t>ö</w:t>
      </w:r>
      <w:r w:rsidRPr="00083DC8">
        <w:rPr>
          <w:rFonts w:ascii="Tw Cen MT" w:eastAsia="Times New Roman" w:hAnsi="Tw Cen MT" w:cs="Calibri"/>
          <w:b/>
          <w:bCs/>
          <w:color w:val="002465"/>
          <w:sz w:val="24"/>
          <w:szCs w:val="24"/>
          <w:lang w:eastAsia="en-GB"/>
        </w:rPr>
        <w:t xml:space="preserve">stergesidir. </w:t>
      </w:r>
      <w:r w:rsidRPr="00083DC8">
        <w:rPr>
          <w:rFonts w:ascii="Tw Cen MT" w:eastAsia="Times New Roman" w:hAnsi="Tw Cen MT" w:cs="Calibri"/>
          <w:sz w:val="24"/>
          <w:szCs w:val="24"/>
          <w:lang w:eastAsia="en-GB"/>
        </w:rPr>
        <w:t xml:space="preserve">Borsa </w:t>
      </w:r>
      <w:r w:rsidRPr="00083DC8">
        <w:rPr>
          <w:rFonts w:eastAsia="Times New Roman" w:cs="Calibri"/>
          <w:sz w:val="24"/>
          <w:szCs w:val="24"/>
          <w:lang w:eastAsia="en-GB"/>
        </w:rPr>
        <w:t>İ</w:t>
      </w:r>
      <w:r w:rsidRPr="00083DC8">
        <w:rPr>
          <w:rFonts w:ascii="Tw Cen MT" w:eastAsia="Times New Roman" w:hAnsi="Tw Cen MT" w:cs="Calibri"/>
          <w:sz w:val="24"/>
          <w:szCs w:val="24"/>
          <w:lang w:eastAsia="en-GB"/>
        </w:rPr>
        <w:t xml:space="preserve">stanbul'un benzer </w:t>
      </w:r>
      <w:r w:rsidRPr="00083DC8">
        <w:rPr>
          <w:rFonts w:ascii="Tw Cen MT" w:eastAsia="Times New Roman" w:hAnsi="Tw Cen MT" w:cs="Tw Cen MT"/>
          <w:sz w:val="24"/>
          <w:szCs w:val="24"/>
          <w:lang w:eastAsia="en-GB"/>
        </w:rPr>
        <w:t>ş</w:t>
      </w:r>
      <w:r w:rsidRPr="00083DC8">
        <w:rPr>
          <w:rFonts w:ascii="Tw Cen MT" w:eastAsia="Times New Roman" w:hAnsi="Tw Cen MT" w:cs="Calibri"/>
          <w:sz w:val="24"/>
          <w:szCs w:val="24"/>
          <w:lang w:eastAsia="en-GB"/>
        </w:rPr>
        <w:t>ok dalgalar</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n</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 ya</w:t>
      </w:r>
      <w:r w:rsidRPr="00083DC8">
        <w:rPr>
          <w:rFonts w:ascii="Tw Cen MT" w:eastAsia="Times New Roman" w:hAnsi="Tw Cen MT" w:cs="Tw Cen MT"/>
          <w:sz w:val="24"/>
          <w:szCs w:val="24"/>
          <w:lang w:eastAsia="en-GB"/>
        </w:rPr>
        <w:t>ş</w:t>
      </w:r>
      <w:r w:rsidRPr="00083DC8">
        <w:rPr>
          <w:rFonts w:ascii="Tw Cen MT" w:eastAsia="Times New Roman" w:hAnsi="Tw Cen MT" w:cs="Calibri"/>
          <w:sz w:val="24"/>
          <w:szCs w:val="24"/>
          <w:lang w:eastAsia="en-GB"/>
        </w:rPr>
        <w:t>amamas</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 i</w:t>
      </w:r>
      <w:r w:rsidRPr="00083DC8">
        <w:rPr>
          <w:rFonts w:ascii="Tw Cen MT" w:eastAsia="Times New Roman" w:hAnsi="Tw Cen MT" w:cs="Tw Cen MT"/>
          <w:sz w:val="24"/>
          <w:szCs w:val="24"/>
          <w:lang w:eastAsia="en-GB"/>
        </w:rPr>
        <w:t>ç</w:t>
      </w:r>
      <w:r w:rsidRPr="00083DC8">
        <w:rPr>
          <w:rFonts w:ascii="Tw Cen MT" w:eastAsia="Times New Roman" w:hAnsi="Tw Cen MT" w:cs="Calibri"/>
          <w:sz w:val="24"/>
          <w:szCs w:val="24"/>
          <w:lang w:eastAsia="en-GB"/>
        </w:rPr>
        <w:t xml:space="preserve">in Haziran 2027'ye kadar beklemeden bir an evvel piyasa </w:t>
      </w:r>
      <w:r w:rsidRPr="00083DC8">
        <w:rPr>
          <w:rFonts w:ascii="Tw Cen MT" w:eastAsia="Times New Roman" w:hAnsi="Tw Cen MT" w:cs="Tw Cen MT"/>
          <w:sz w:val="24"/>
          <w:szCs w:val="24"/>
          <w:lang w:eastAsia="en-GB"/>
        </w:rPr>
        <w:t>ş</w:t>
      </w:r>
      <w:r w:rsidRPr="00083DC8">
        <w:rPr>
          <w:rFonts w:ascii="Tw Cen MT" w:eastAsia="Times New Roman" w:hAnsi="Tw Cen MT" w:cs="Calibri"/>
          <w:sz w:val="24"/>
          <w:szCs w:val="24"/>
          <w:lang w:eastAsia="en-GB"/>
        </w:rPr>
        <w:t>effafl</w:t>
      </w:r>
      <w:r w:rsidRPr="00083DC8">
        <w:rPr>
          <w:rFonts w:ascii="Tw Cen MT" w:eastAsia="Times New Roman" w:hAnsi="Tw Cen MT" w:cs="Tw Cen MT"/>
          <w:sz w:val="24"/>
          <w:szCs w:val="24"/>
          <w:lang w:eastAsia="en-GB"/>
        </w:rPr>
        <w:t>ı</w:t>
      </w:r>
      <w:r w:rsidRPr="00083DC8">
        <w:rPr>
          <w:rFonts w:eastAsia="Times New Roman" w:cs="Calibri"/>
          <w:sz w:val="24"/>
          <w:szCs w:val="24"/>
          <w:lang w:eastAsia="en-GB"/>
        </w:rPr>
        <w:t>ğ</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 standartlar</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n</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n k</w:t>
      </w:r>
      <w:r w:rsidRPr="00083DC8">
        <w:rPr>
          <w:rFonts w:ascii="Tw Cen MT" w:eastAsia="Times New Roman" w:hAnsi="Tw Cen MT" w:cs="Tw Cen MT"/>
          <w:sz w:val="24"/>
          <w:szCs w:val="24"/>
          <w:lang w:eastAsia="en-GB"/>
        </w:rPr>
        <w:t>ü</w:t>
      </w:r>
      <w:r w:rsidRPr="00083DC8">
        <w:rPr>
          <w:rFonts w:ascii="Tw Cen MT" w:eastAsia="Times New Roman" w:hAnsi="Tw Cen MT" w:cs="Calibri"/>
          <w:sz w:val="24"/>
          <w:szCs w:val="24"/>
          <w:lang w:eastAsia="en-GB"/>
        </w:rPr>
        <w:t>resel d</w:t>
      </w:r>
      <w:r w:rsidRPr="00083DC8">
        <w:rPr>
          <w:rFonts w:ascii="Tw Cen MT" w:eastAsia="Times New Roman" w:hAnsi="Tw Cen MT" w:cs="Tw Cen MT"/>
          <w:sz w:val="24"/>
          <w:szCs w:val="24"/>
          <w:lang w:eastAsia="en-GB"/>
        </w:rPr>
        <w:t>ü</w:t>
      </w:r>
      <w:r w:rsidRPr="00083DC8">
        <w:rPr>
          <w:rFonts w:ascii="Tw Cen MT" w:eastAsia="Times New Roman" w:hAnsi="Tw Cen MT" w:cs="Calibri"/>
          <w:sz w:val="24"/>
          <w:szCs w:val="24"/>
          <w:lang w:eastAsia="en-GB"/>
        </w:rPr>
        <w:t>zeye ula</w:t>
      </w:r>
      <w:r w:rsidRPr="00083DC8">
        <w:rPr>
          <w:rFonts w:ascii="Tw Cen MT" w:eastAsia="Times New Roman" w:hAnsi="Tw Cen MT" w:cs="Tw Cen MT"/>
          <w:sz w:val="24"/>
          <w:szCs w:val="24"/>
          <w:lang w:eastAsia="en-GB"/>
        </w:rPr>
        <w:t>ş</w:t>
      </w:r>
      <w:r w:rsidRPr="00083DC8">
        <w:rPr>
          <w:rFonts w:ascii="Tw Cen MT" w:eastAsia="Times New Roman" w:hAnsi="Tw Cen MT" w:cs="Calibri"/>
          <w:sz w:val="24"/>
          <w:szCs w:val="24"/>
          <w:lang w:eastAsia="en-GB"/>
        </w:rPr>
        <w:t>t</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r</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lmas</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 ve endeks hesaplay</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c</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lar</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n</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n ikna edilmeleri T</w:t>
      </w:r>
      <w:r w:rsidRPr="00083DC8">
        <w:rPr>
          <w:rFonts w:ascii="Tw Cen MT" w:eastAsia="Times New Roman" w:hAnsi="Tw Cen MT" w:cs="Tw Cen MT"/>
          <w:sz w:val="24"/>
          <w:szCs w:val="24"/>
          <w:lang w:eastAsia="en-GB"/>
        </w:rPr>
        <w:t>ü</w:t>
      </w:r>
      <w:r w:rsidRPr="00083DC8">
        <w:rPr>
          <w:rFonts w:ascii="Tw Cen MT" w:eastAsia="Times New Roman" w:hAnsi="Tw Cen MT" w:cs="Calibri"/>
          <w:sz w:val="24"/>
          <w:szCs w:val="24"/>
          <w:lang w:eastAsia="en-GB"/>
        </w:rPr>
        <w:t>rkiye ekonomisi a</w:t>
      </w:r>
      <w:r w:rsidRPr="00083DC8">
        <w:rPr>
          <w:rFonts w:ascii="Tw Cen MT" w:eastAsia="Times New Roman" w:hAnsi="Tw Cen MT" w:cs="Tw Cen MT"/>
          <w:sz w:val="24"/>
          <w:szCs w:val="24"/>
          <w:lang w:eastAsia="en-GB"/>
        </w:rPr>
        <w:t>çı</w:t>
      </w:r>
      <w:r w:rsidRPr="00083DC8">
        <w:rPr>
          <w:rFonts w:ascii="Tw Cen MT" w:eastAsia="Times New Roman" w:hAnsi="Tw Cen MT" w:cs="Calibri"/>
          <w:sz w:val="24"/>
          <w:szCs w:val="24"/>
          <w:lang w:eastAsia="en-GB"/>
        </w:rPr>
        <w:t>s</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ndan kritik </w:t>
      </w:r>
      <w:r w:rsidRPr="00083DC8">
        <w:rPr>
          <w:rFonts w:ascii="Tw Cen MT" w:eastAsia="Times New Roman" w:hAnsi="Tw Cen MT" w:cs="Tw Cen MT"/>
          <w:sz w:val="24"/>
          <w:szCs w:val="24"/>
          <w:lang w:eastAsia="en-GB"/>
        </w:rPr>
        <w:t>ö</w:t>
      </w:r>
      <w:r w:rsidRPr="00083DC8">
        <w:rPr>
          <w:rFonts w:ascii="Tw Cen MT" w:eastAsia="Times New Roman" w:hAnsi="Tw Cen MT" w:cs="Calibri"/>
          <w:sz w:val="24"/>
          <w:szCs w:val="24"/>
          <w:lang w:eastAsia="en-GB"/>
        </w:rPr>
        <w:t>nemdedir. Artık 9 ay içerinde Türkiye'deki şirketler ne kadar büyürse büyüsün ne kadar çok finansal başarı ve kâr ederse etsin MSCI şu anda yeni hiçbir Türk hissesini endeksine eklemeyecek, bu hisselerin a</w:t>
      </w:r>
      <w:r w:rsidRPr="00083DC8">
        <w:rPr>
          <w:rFonts w:eastAsia="Times New Roman" w:cs="Calibri"/>
          <w:sz w:val="24"/>
          <w:szCs w:val="24"/>
          <w:lang w:eastAsia="en-GB"/>
        </w:rPr>
        <w:t>ğ</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rl</w:t>
      </w:r>
      <w:r w:rsidRPr="00083DC8">
        <w:rPr>
          <w:rFonts w:ascii="Tw Cen MT" w:eastAsia="Times New Roman" w:hAnsi="Tw Cen MT" w:cs="Tw Cen MT"/>
          <w:sz w:val="24"/>
          <w:szCs w:val="24"/>
          <w:lang w:eastAsia="en-GB"/>
        </w:rPr>
        <w:t>ı</w:t>
      </w:r>
      <w:r w:rsidRPr="00083DC8">
        <w:rPr>
          <w:rFonts w:eastAsia="Times New Roman" w:cs="Calibri"/>
          <w:sz w:val="24"/>
          <w:szCs w:val="24"/>
          <w:lang w:eastAsia="en-GB"/>
        </w:rPr>
        <w:t>ğ</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n</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 art</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rmayacak ve T</w:t>
      </w:r>
      <w:r w:rsidRPr="00083DC8">
        <w:rPr>
          <w:rFonts w:ascii="Tw Cen MT" w:eastAsia="Times New Roman" w:hAnsi="Tw Cen MT" w:cs="Tw Cen MT"/>
          <w:sz w:val="24"/>
          <w:szCs w:val="24"/>
          <w:lang w:eastAsia="en-GB"/>
        </w:rPr>
        <w:t>ü</w:t>
      </w:r>
      <w:r w:rsidRPr="00083DC8">
        <w:rPr>
          <w:rFonts w:ascii="Tw Cen MT" w:eastAsia="Times New Roman" w:hAnsi="Tw Cen MT" w:cs="Calibri"/>
          <w:sz w:val="24"/>
          <w:szCs w:val="24"/>
          <w:lang w:eastAsia="en-GB"/>
        </w:rPr>
        <w:t>rkiye'yi liginde ve mevcut bulundu</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u noktada sabit tutacakt</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r. Dolay</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s</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yla bu durum, Borsa </w:t>
      </w:r>
      <w:r w:rsidRPr="00083DC8">
        <w:rPr>
          <w:rFonts w:eastAsia="Times New Roman" w:cs="Calibri"/>
          <w:sz w:val="24"/>
          <w:szCs w:val="24"/>
          <w:lang w:eastAsia="en-GB"/>
        </w:rPr>
        <w:t>İ</w:t>
      </w:r>
      <w:r w:rsidRPr="00083DC8">
        <w:rPr>
          <w:rFonts w:ascii="Tw Cen MT" w:eastAsia="Times New Roman" w:hAnsi="Tw Cen MT" w:cs="Calibri"/>
          <w:sz w:val="24"/>
          <w:szCs w:val="24"/>
          <w:lang w:eastAsia="en-GB"/>
        </w:rPr>
        <w:t>stanbul'un k</w:t>
      </w:r>
      <w:r w:rsidRPr="00083DC8">
        <w:rPr>
          <w:rFonts w:ascii="Tw Cen MT" w:eastAsia="Times New Roman" w:hAnsi="Tw Cen MT" w:cs="Tw Cen MT"/>
          <w:sz w:val="24"/>
          <w:szCs w:val="24"/>
          <w:lang w:eastAsia="en-GB"/>
        </w:rPr>
        <w:t>ü</w:t>
      </w:r>
      <w:r w:rsidRPr="00083DC8">
        <w:rPr>
          <w:rFonts w:ascii="Tw Cen MT" w:eastAsia="Times New Roman" w:hAnsi="Tw Cen MT" w:cs="Calibri"/>
          <w:sz w:val="24"/>
          <w:szCs w:val="24"/>
          <w:lang w:eastAsia="en-GB"/>
        </w:rPr>
        <w:t>resel fonlardan alabilece</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i taze para giri</w:t>
      </w:r>
      <w:r w:rsidRPr="00083DC8">
        <w:rPr>
          <w:rFonts w:ascii="Tw Cen MT" w:eastAsia="Times New Roman" w:hAnsi="Tw Cen MT" w:cs="Tw Cen MT"/>
          <w:sz w:val="24"/>
          <w:szCs w:val="24"/>
          <w:lang w:eastAsia="en-GB"/>
        </w:rPr>
        <w:t>ş</w:t>
      </w:r>
      <w:r w:rsidRPr="00083DC8">
        <w:rPr>
          <w:rFonts w:ascii="Tw Cen MT" w:eastAsia="Times New Roman" w:hAnsi="Tw Cen MT" w:cs="Calibri"/>
          <w:sz w:val="24"/>
          <w:szCs w:val="24"/>
          <w:lang w:eastAsia="en-GB"/>
        </w:rPr>
        <w:t xml:space="preserve">inin </w:t>
      </w:r>
      <w:r w:rsidRPr="00083DC8">
        <w:rPr>
          <w:rFonts w:ascii="Tw Cen MT" w:eastAsia="Times New Roman" w:hAnsi="Tw Cen MT" w:cs="Tw Cen MT"/>
          <w:sz w:val="24"/>
          <w:szCs w:val="24"/>
          <w:lang w:eastAsia="en-GB"/>
        </w:rPr>
        <w:t>ö</w:t>
      </w:r>
      <w:r w:rsidRPr="00083DC8">
        <w:rPr>
          <w:rFonts w:ascii="Tw Cen MT" w:eastAsia="Times New Roman" w:hAnsi="Tw Cen MT" w:cs="Calibri"/>
          <w:sz w:val="24"/>
          <w:szCs w:val="24"/>
          <w:lang w:eastAsia="en-GB"/>
        </w:rPr>
        <w:t>n</w:t>
      </w:r>
      <w:r w:rsidRPr="00083DC8">
        <w:rPr>
          <w:rFonts w:ascii="Tw Cen MT" w:eastAsia="Times New Roman" w:hAnsi="Tw Cen MT" w:cs="Tw Cen MT"/>
          <w:sz w:val="24"/>
          <w:szCs w:val="24"/>
          <w:lang w:eastAsia="en-GB"/>
        </w:rPr>
        <w:t>ü</w:t>
      </w:r>
      <w:r w:rsidRPr="00083DC8">
        <w:rPr>
          <w:rFonts w:ascii="Tw Cen MT" w:eastAsia="Times New Roman" w:hAnsi="Tw Cen MT" w:cs="Calibri"/>
          <w:sz w:val="24"/>
          <w:szCs w:val="24"/>
          <w:lang w:eastAsia="en-GB"/>
        </w:rPr>
        <w:t>n</w:t>
      </w:r>
      <w:r w:rsidRPr="00083DC8">
        <w:rPr>
          <w:rFonts w:ascii="Tw Cen MT" w:eastAsia="Times New Roman" w:hAnsi="Tw Cen MT" w:cs="Tw Cen MT"/>
          <w:sz w:val="24"/>
          <w:szCs w:val="24"/>
          <w:lang w:eastAsia="en-GB"/>
        </w:rPr>
        <w:t>ü</w:t>
      </w:r>
      <w:r w:rsidRPr="00083DC8">
        <w:rPr>
          <w:rFonts w:ascii="Tw Cen MT" w:eastAsia="Times New Roman" w:hAnsi="Tw Cen MT" w:cs="Calibri"/>
          <w:sz w:val="24"/>
          <w:szCs w:val="24"/>
          <w:lang w:eastAsia="en-GB"/>
        </w:rPr>
        <w:t xml:space="preserve"> 9 ay boyunca tamamen t</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kam</w:t>
      </w:r>
      <w:r w:rsidRPr="00083DC8">
        <w:rPr>
          <w:rFonts w:ascii="Tw Cen MT" w:eastAsia="Times New Roman" w:hAnsi="Tw Cen MT" w:cs="Tw Cen MT"/>
          <w:sz w:val="24"/>
          <w:szCs w:val="24"/>
          <w:lang w:eastAsia="en-GB"/>
        </w:rPr>
        <w:t>ış</w:t>
      </w:r>
      <w:r w:rsidRPr="00083DC8">
        <w:rPr>
          <w:rFonts w:ascii="Tw Cen MT" w:eastAsia="Times New Roman" w:hAnsi="Tw Cen MT" w:cs="Calibri"/>
          <w:sz w:val="24"/>
          <w:szCs w:val="24"/>
          <w:lang w:eastAsia="en-GB"/>
        </w:rPr>
        <w:t xml:space="preserve"> durumdad</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r.</w:t>
      </w:r>
    </w:p>
    <w:p w14:paraId="562E4EFD" w14:textId="77777777" w:rsidR="00083DC8" w:rsidRPr="00083DC8" w:rsidRDefault="00083DC8" w:rsidP="00083DC8">
      <w:pPr>
        <w:spacing w:after="160" w:line="259" w:lineRule="auto"/>
        <w:ind w:left="720"/>
        <w:contextualSpacing/>
        <w:rPr>
          <w:rFonts w:ascii="Tw Cen MT" w:eastAsia="Times New Roman" w:hAnsi="Tw Cen MT" w:cs="Calibri"/>
          <w:sz w:val="24"/>
          <w:szCs w:val="24"/>
          <w:lang w:eastAsia="en-GB"/>
        </w:rPr>
      </w:pPr>
    </w:p>
    <w:p w14:paraId="49993699" w14:textId="6940FDC2" w:rsidR="00083DC8" w:rsidRPr="00083DC8" w:rsidRDefault="00083DC8" w:rsidP="00083DC8">
      <w:pPr>
        <w:numPr>
          <w:ilvl w:val="0"/>
          <w:numId w:val="15"/>
        </w:numPr>
        <w:shd w:val="clear" w:color="auto" w:fill="FFFFFF"/>
        <w:tabs>
          <w:tab w:val="left" w:pos="284"/>
        </w:tabs>
        <w:spacing w:before="100" w:beforeAutospacing="1" w:after="100" w:afterAutospacing="1" w:line="256" w:lineRule="auto"/>
        <w:ind w:left="284" w:hanging="284"/>
        <w:contextualSpacing/>
        <w:jc w:val="both"/>
        <w:rPr>
          <w:rFonts w:ascii="Tw Cen MT" w:eastAsia="Times New Roman" w:hAnsi="Tw Cen MT" w:cs="Calibri"/>
          <w:color w:val="353535"/>
          <w:sz w:val="24"/>
          <w:szCs w:val="24"/>
          <w:lang w:eastAsia="en-GB"/>
        </w:rPr>
      </w:pPr>
      <w:r w:rsidRPr="00083DC8">
        <w:rPr>
          <w:rFonts w:ascii="Tw Cen MT" w:eastAsia="Times New Roman" w:hAnsi="Tw Cen MT" w:cs="Calibri"/>
          <w:b/>
          <w:bCs/>
          <w:color w:val="002465"/>
          <w:sz w:val="24"/>
          <w:szCs w:val="24"/>
          <w:lang w:eastAsia="en-GB"/>
        </w:rPr>
        <w:t>Bir ülkenin statüsünün Sınır Piyasa (</w:t>
      </w:r>
      <w:r w:rsidRPr="00083DC8">
        <w:rPr>
          <w:rFonts w:ascii="Tw Cen MT" w:eastAsia="Times New Roman" w:hAnsi="Tw Cen MT" w:cs="Calibri"/>
          <w:b/>
          <w:bCs/>
          <w:color w:val="002465"/>
          <w:sz w:val="24"/>
          <w:szCs w:val="24"/>
          <w:lang w:val="en-GB" w:eastAsia="en-GB"/>
        </w:rPr>
        <w:t>Frontier Market</w:t>
      </w:r>
      <w:r w:rsidRPr="00083DC8">
        <w:rPr>
          <w:rFonts w:ascii="Tw Cen MT" w:eastAsia="Times New Roman" w:hAnsi="Tw Cen MT" w:cs="Calibri"/>
          <w:b/>
          <w:bCs/>
          <w:color w:val="002465"/>
          <w:sz w:val="24"/>
          <w:szCs w:val="24"/>
          <w:lang w:eastAsia="en-GB"/>
        </w:rPr>
        <w:t xml:space="preserve">) seviyesine düşürülmesi, o ülke </w:t>
      </w:r>
      <w:r w:rsidRPr="00087AB1">
        <w:rPr>
          <w:rFonts w:ascii="Tw Cen MT" w:eastAsia="Times New Roman" w:hAnsi="Tw Cen MT" w:cs="Calibri"/>
          <w:b/>
          <w:bCs/>
          <w:color w:val="002465"/>
          <w:sz w:val="24"/>
          <w:szCs w:val="24"/>
          <w:lang w:eastAsia="en-GB"/>
        </w:rPr>
        <w:t>n</w:t>
      </w:r>
      <w:r w:rsidRPr="00083DC8">
        <w:rPr>
          <w:rFonts w:ascii="Tw Cen MT" w:eastAsia="Times New Roman" w:hAnsi="Tw Cen MT" w:cs="Calibri"/>
          <w:b/>
          <w:bCs/>
          <w:color w:val="002465"/>
          <w:sz w:val="24"/>
          <w:szCs w:val="24"/>
          <w:lang w:eastAsia="en-GB"/>
        </w:rPr>
        <w:t xml:space="preserve">otlarının çöp seviyesine indirilmesiyle </w:t>
      </w:r>
      <w:r w:rsidRPr="00087AB1">
        <w:rPr>
          <w:rFonts w:ascii="Tw Cen MT" w:eastAsia="Times New Roman" w:hAnsi="Tw Cen MT" w:cs="Calibri"/>
          <w:b/>
          <w:bCs/>
          <w:color w:val="002465"/>
          <w:sz w:val="24"/>
          <w:szCs w:val="24"/>
          <w:lang w:eastAsia="en-GB"/>
        </w:rPr>
        <w:t xml:space="preserve">hemen hemen </w:t>
      </w:r>
      <w:r w:rsidRPr="00083DC8">
        <w:rPr>
          <w:rFonts w:ascii="Tw Cen MT" w:eastAsia="Times New Roman" w:hAnsi="Tw Cen MT" w:cs="Calibri"/>
          <w:b/>
          <w:bCs/>
          <w:color w:val="002465"/>
          <w:sz w:val="24"/>
          <w:szCs w:val="24"/>
          <w:lang w:eastAsia="en-GB"/>
        </w:rPr>
        <w:t>aynı sonuçları üretecektir</w:t>
      </w:r>
      <w:r w:rsidRPr="00083DC8">
        <w:rPr>
          <w:rFonts w:ascii="Tw Cen MT" w:eastAsia="Times New Roman" w:hAnsi="Tw Cen MT" w:cs="Calibri"/>
          <w:b/>
          <w:bCs/>
          <w:sz w:val="24"/>
          <w:szCs w:val="24"/>
          <w:lang w:eastAsia="en-GB"/>
        </w:rPr>
        <w:t xml:space="preserve">. </w:t>
      </w:r>
      <w:r w:rsidRPr="00083DC8">
        <w:rPr>
          <w:rFonts w:ascii="Tw Cen MT" w:eastAsia="Times New Roman" w:hAnsi="Tw Cen MT" w:cs="Calibri"/>
          <w:color w:val="353535"/>
          <w:sz w:val="24"/>
          <w:szCs w:val="24"/>
          <w:lang w:eastAsia="en-GB"/>
        </w:rPr>
        <w:t>9</w:t>
      </w:r>
      <w:r w:rsidRPr="00083DC8">
        <w:rPr>
          <w:rFonts w:ascii="Tw Cen MT" w:eastAsia="Times New Roman" w:hAnsi="Tw Cen MT" w:cs="Calibri"/>
          <w:sz w:val="24"/>
          <w:szCs w:val="24"/>
          <w:lang w:eastAsia="en-GB"/>
        </w:rPr>
        <w:t xml:space="preserve"> ay sonunda Gelişmekte Olan Piyasalar (</w:t>
      </w:r>
      <w:r w:rsidRPr="00083DC8">
        <w:rPr>
          <w:rFonts w:ascii="Tw Cen MT" w:eastAsia="Times New Roman" w:hAnsi="Tw Cen MT" w:cs="Calibri"/>
          <w:sz w:val="24"/>
          <w:szCs w:val="24"/>
          <w:lang w:val="en-GB" w:eastAsia="en-GB"/>
        </w:rPr>
        <w:t>Emerging Markets)</w:t>
      </w:r>
      <w:r w:rsidRPr="00083DC8">
        <w:rPr>
          <w:rFonts w:ascii="Tw Cen MT" w:eastAsia="Times New Roman" w:hAnsi="Tw Cen MT" w:cs="Calibri"/>
          <w:sz w:val="24"/>
          <w:szCs w:val="24"/>
          <w:lang w:eastAsia="en-GB"/>
        </w:rPr>
        <w:t xml:space="preserve"> statüsünün Sınır Piyasa (</w:t>
      </w:r>
      <w:r w:rsidRPr="00083DC8">
        <w:rPr>
          <w:rFonts w:ascii="Tw Cen MT" w:eastAsia="Times New Roman" w:hAnsi="Tw Cen MT" w:cs="Calibri"/>
          <w:sz w:val="24"/>
          <w:szCs w:val="24"/>
          <w:lang w:val="en-GB" w:eastAsia="en-GB"/>
        </w:rPr>
        <w:t>Frontier Market</w:t>
      </w:r>
      <w:r w:rsidRPr="00083DC8">
        <w:rPr>
          <w:rFonts w:ascii="Tw Cen MT" w:eastAsia="Times New Roman" w:hAnsi="Tw Cen MT" w:cs="Calibri"/>
          <w:sz w:val="24"/>
          <w:szCs w:val="24"/>
          <w:lang w:eastAsia="en-GB"/>
        </w:rPr>
        <w:t>) veya daha kötüsü Ba</w:t>
      </w:r>
      <w:r w:rsidRPr="00083DC8">
        <w:rPr>
          <w:rFonts w:eastAsia="Times New Roman" w:cs="Calibri"/>
          <w:sz w:val="24"/>
          <w:szCs w:val="24"/>
          <w:lang w:eastAsia="en-GB"/>
        </w:rPr>
        <w:t>ğ</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ms</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z Piyasa </w:t>
      </w:r>
      <w:r w:rsidRPr="00083DC8">
        <w:rPr>
          <w:rFonts w:ascii="Tw Cen MT" w:eastAsia="Times New Roman" w:hAnsi="Tw Cen MT" w:cs="Calibri"/>
          <w:sz w:val="24"/>
          <w:szCs w:val="24"/>
          <w:lang w:val="en-GB" w:eastAsia="en-GB"/>
        </w:rPr>
        <w:t>(Standalone Market</w:t>
      </w:r>
      <w:r w:rsidRPr="00083DC8">
        <w:rPr>
          <w:rFonts w:ascii="Tw Cen MT" w:eastAsia="Times New Roman" w:hAnsi="Tw Cen MT" w:cs="Calibri"/>
          <w:sz w:val="24"/>
          <w:szCs w:val="24"/>
          <w:lang w:eastAsia="en-GB"/>
        </w:rPr>
        <w:t>) statüsüne düşürülmesi olasılı</w:t>
      </w:r>
      <w:r w:rsidRPr="00083DC8">
        <w:rPr>
          <w:rFonts w:eastAsia="Times New Roman" w:cs="Calibri"/>
          <w:sz w:val="24"/>
          <w:szCs w:val="24"/>
          <w:lang w:eastAsia="en-GB"/>
        </w:rPr>
        <w:t>ğ</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ülkenin kredi derecelendirme notunun çöp (</w:t>
      </w:r>
      <w:r w:rsidRPr="00083DC8">
        <w:rPr>
          <w:rFonts w:ascii="Tw Cen MT" w:eastAsia="Times New Roman" w:hAnsi="Tw Cen MT" w:cs="Calibri"/>
          <w:sz w:val="24"/>
          <w:szCs w:val="24"/>
          <w:lang w:val="en-GB" w:eastAsia="en-GB"/>
        </w:rPr>
        <w:t>junk)</w:t>
      </w:r>
      <w:r w:rsidRPr="00083DC8">
        <w:rPr>
          <w:rFonts w:ascii="Tw Cen MT" w:eastAsia="Times New Roman" w:hAnsi="Tw Cen MT" w:cs="Calibri"/>
          <w:sz w:val="24"/>
          <w:szCs w:val="24"/>
          <w:lang w:eastAsia="en-GB"/>
        </w:rPr>
        <w:t xml:space="preserve"> seviyesine inmesi ile benzer sonuçlar üretir. </w:t>
      </w:r>
      <w:r w:rsidRPr="00083DC8">
        <w:rPr>
          <w:rFonts w:ascii="Tw Cen MT" w:eastAsia="Times New Roman" w:hAnsi="Tw Cen MT" w:cs="Calibri"/>
          <w:color w:val="353535"/>
          <w:sz w:val="24"/>
          <w:szCs w:val="24"/>
          <w:lang w:eastAsia="en-GB"/>
        </w:rPr>
        <w:t>9 ay bekleme sonrasında çıkış (ba</w:t>
      </w:r>
      <w:r w:rsidRPr="00083DC8">
        <w:rPr>
          <w:rFonts w:eastAsia="Times New Roman" w:cs="Calibri"/>
          <w:color w:val="353535"/>
          <w:sz w:val="24"/>
          <w:szCs w:val="24"/>
          <w:lang w:eastAsia="en-GB"/>
        </w:rPr>
        <w:t>ğ</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ms</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z piyasa statüsüne atma) tercihinin kullanılması halinde fiyat düşüşleri çöküş noktasına varacaktır. Yabancı yatırımcıların Türk hisselerini portföylerinden çıkarmaları bir nevi zorunluluk haline gelece</w:t>
      </w:r>
      <w:r w:rsidRPr="00083DC8">
        <w:rPr>
          <w:rFonts w:eastAsia="Times New Roman" w:cs="Calibri"/>
          <w:color w:val="353535"/>
          <w:sz w:val="24"/>
          <w:szCs w:val="24"/>
          <w:lang w:eastAsia="en-GB"/>
        </w:rPr>
        <w:t>ğ</w:t>
      </w:r>
      <w:r w:rsidRPr="00083DC8">
        <w:rPr>
          <w:rFonts w:ascii="Tw Cen MT" w:eastAsia="Times New Roman" w:hAnsi="Tw Cen MT" w:cs="Calibri"/>
          <w:color w:val="353535"/>
          <w:sz w:val="24"/>
          <w:szCs w:val="24"/>
          <w:lang w:eastAsia="en-GB"/>
        </w:rPr>
        <w:t>i i</w:t>
      </w:r>
      <w:r w:rsidRPr="00083DC8">
        <w:rPr>
          <w:rFonts w:ascii="Tw Cen MT" w:eastAsia="Times New Roman" w:hAnsi="Tw Cen MT" w:cs="Tw Cen MT"/>
          <w:color w:val="353535"/>
          <w:sz w:val="24"/>
          <w:szCs w:val="24"/>
          <w:lang w:eastAsia="en-GB"/>
        </w:rPr>
        <w:t>ç</w:t>
      </w:r>
      <w:r w:rsidRPr="00083DC8">
        <w:rPr>
          <w:rFonts w:ascii="Tw Cen MT" w:eastAsia="Times New Roman" w:hAnsi="Tw Cen MT" w:cs="Calibri"/>
          <w:color w:val="353535"/>
          <w:sz w:val="24"/>
          <w:szCs w:val="24"/>
          <w:lang w:eastAsia="en-GB"/>
        </w:rPr>
        <w:t>in esas zarar o d</w:t>
      </w:r>
      <w:r w:rsidRPr="00083DC8">
        <w:rPr>
          <w:rFonts w:ascii="Tw Cen MT" w:eastAsia="Times New Roman" w:hAnsi="Tw Cen MT" w:cs="Tw Cen MT"/>
          <w:color w:val="353535"/>
          <w:sz w:val="24"/>
          <w:szCs w:val="24"/>
          <w:lang w:eastAsia="en-GB"/>
        </w:rPr>
        <w:t>ö</w:t>
      </w:r>
      <w:r w:rsidRPr="00083DC8">
        <w:rPr>
          <w:rFonts w:ascii="Tw Cen MT" w:eastAsia="Times New Roman" w:hAnsi="Tw Cen MT" w:cs="Calibri"/>
          <w:color w:val="353535"/>
          <w:sz w:val="24"/>
          <w:szCs w:val="24"/>
          <w:lang w:eastAsia="en-GB"/>
        </w:rPr>
        <w:t xml:space="preserve">nemde ortaya </w:t>
      </w:r>
      <w:r w:rsidRPr="00083DC8">
        <w:rPr>
          <w:rFonts w:ascii="Tw Cen MT" w:eastAsia="Times New Roman" w:hAnsi="Tw Cen MT" w:cs="Tw Cen MT"/>
          <w:color w:val="353535"/>
          <w:sz w:val="24"/>
          <w:szCs w:val="24"/>
          <w:lang w:eastAsia="en-GB"/>
        </w:rPr>
        <w:t>çı</w:t>
      </w:r>
      <w:r w:rsidRPr="00083DC8">
        <w:rPr>
          <w:rFonts w:ascii="Tw Cen MT" w:eastAsia="Times New Roman" w:hAnsi="Tw Cen MT" w:cs="Calibri"/>
          <w:color w:val="353535"/>
          <w:sz w:val="24"/>
          <w:szCs w:val="24"/>
          <w:lang w:eastAsia="en-GB"/>
        </w:rPr>
        <w:t>kacakt</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r. Bu 9 ayda ya</w:t>
      </w:r>
      <w:r w:rsidRPr="00083DC8">
        <w:rPr>
          <w:rFonts w:ascii="Tw Cen MT" w:eastAsia="Times New Roman" w:hAnsi="Tw Cen MT" w:cs="Tw Cen MT"/>
          <w:color w:val="353535"/>
          <w:sz w:val="24"/>
          <w:szCs w:val="24"/>
          <w:lang w:eastAsia="en-GB"/>
        </w:rPr>
        <w:t>ş</w:t>
      </w:r>
      <w:r w:rsidRPr="00083DC8">
        <w:rPr>
          <w:rFonts w:ascii="Tw Cen MT" w:eastAsia="Times New Roman" w:hAnsi="Tw Cen MT" w:cs="Calibri"/>
          <w:color w:val="353535"/>
          <w:sz w:val="24"/>
          <w:szCs w:val="24"/>
          <w:lang w:eastAsia="en-GB"/>
        </w:rPr>
        <w:t>anacak bekleme s</w:t>
      </w:r>
      <w:r w:rsidRPr="00083DC8">
        <w:rPr>
          <w:rFonts w:ascii="Tw Cen MT" w:eastAsia="Times New Roman" w:hAnsi="Tw Cen MT" w:cs="Tw Cen MT"/>
          <w:color w:val="353535"/>
          <w:sz w:val="24"/>
          <w:szCs w:val="24"/>
          <w:lang w:eastAsia="en-GB"/>
        </w:rPr>
        <w:t>ü</w:t>
      </w:r>
      <w:r w:rsidRPr="00083DC8">
        <w:rPr>
          <w:rFonts w:ascii="Tw Cen MT" w:eastAsia="Times New Roman" w:hAnsi="Tw Cen MT" w:cs="Calibri"/>
          <w:color w:val="353535"/>
          <w:sz w:val="24"/>
          <w:szCs w:val="24"/>
          <w:lang w:eastAsia="en-GB"/>
        </w:rPr>
        <w:t>resinin yarataca</w:t>
      </w:r>
      <w:r w:rsidRPr="00083DC8">
        <w:rPr>
          <w:rFonts w:eastAsia="Times New Roman" w:cs="Calibri"/>
          <w:color w:val="353535"/>
          <w:sz w:val="24"/>
          <w:szCs w:val="24"/>
          <w:lang w:eastAsia="en-GB"/>
        </w:rPr>
        <w:t>ğ</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 maliyetlerin d</w:t>
      </w:r>
      <w:r w:rsidRPr="00083DC8">
        <w:rPr>
          <w:rFonts w:ascii="Tw Cen MT" w:eastAsia="Times New Roman" w:hAnsi="Tw Cen MT" w:cs="Tw Cen MT"/>
          <w:color w:val="353535"/>
          <w:sz w:val="24"/>
          <w:szCs w:val="24"/>
          <w:lang w:eastAsia="en-GB"/>
        </w:rPr>
        <w:t>üşü</w:t>
      </w:r>
      <w:r w:rsidRPr="00083DC8">
        <w:rPr>
          <w:rFonts w:ascii="Tw Cen MT" w:eastAsia="Times New Roman" w:hAnsi="Tw Cen MT" w:cs="Calibri"/>
          <w:color w:val="353535"/>
          <w:sz w:val="24"/>
          <w:szCs w:val="24"/>
          <w:lang w:eastAsia="en-GB"/>
        </w:rPr>
        <w:t>r</w:t>
      </w:r>
      <w:r w:rsidRPr="00083DC8">
        <w:rPr>
          <w:rFonts w:ascii="Tw Cen MT" w:eastAsia="Times New Roman" w:hAnsi="Tw Cen MT" w:cs="Tw Cen MT"/>
          <w:color w:val="353535"/>
          <w:sz w:val="24"/>
          <w:szCs w:val="24"/>
          <w:lang w:eastAsia="en-GB"/>
        </w:rPr>
        <w:t>ü</w:t>
      </w:r>
      <w:r w:rsidRPr="00083DC8">
        <w:rPr>
          <w:rFonts w:ascii="Tw Cen MT" w:eastAsia="Times New Roman" w:hAnsi="Tw Cen MT" w:cs="Calibri"/>
          <w:color w:val="353535"/>
          <w:sz w:val="24"/>
          <w:szCs w:val="24"/>
          <w:lang w:eastAsia="en-GB"/>
        </w:rPr>
        <w:t>lmesi d</w:t>
      </w:r>
      <w:r w:rsidRPr="00083DC8">
        <w:rPr>
          <w:rFonts w:ascii="Tw Cen MT" w:eastAsia="Times New Roman" w:hAnsi="Tw Cen MT" w:cs="Tw Cen MT"/>
          <w:color w:val="353535"/>
          <w:sz w:val="24"/>
          <w:szCs w:val="24"/>
          <w:lang w:eastAsia="en-GB"/>
        </w:rPr>
        <w:t>ü</w:t>
      </w:r>
      <w:r w:rsidRPr="00083DC8">
        <w:rPr>
          <w:rFonts w:ascii="Tw Cen MT" w:eastAsia="Times New Roman" w:hAnsi="Tw Cen MT" w:cs="Calibri"/>
          <w:color w:val="353535"/>
          <w:sz w:val="24"/>
          <w:szCs w:val="24"/>
          <w:lang w:eastAsia="en-GB"/>
        </w:rPr>
        <w:t>zenleyici kurumlar</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n ve ekonomi y</w:t>
      </w:r>
      <w:r w:rsidRPr="00083DC8">
        <w:rPr>
          <w:rFonts w:ascii="Tw Cen MT" w:eastAsia="Times New Roman" w:hAnsi="Tw Cen MT" w:cs="Tw Cen MT"/>
          <w:color w:val="353535"/>
          <w:sz w:val="24"/>
          <w:szCs w:val="24"/>
          <w:lang w:eastAsia="en-GB"/>
        </w:rPr>
        <w:t>ö</w:t>
      </w:r>
      <w:r w:rsidRPr="00083DC8">
        <w:rPr>
          <w:rFonts w:ascii="Tw Cen MT" w:eastAsia="Times New Roman" w:hAnsi="Tw Cen MT" w:cs="Calibri"/>
          <w:color w:val="353535"/>
          <w:sz w:val="24"/>
          <w:szCs w:val="24"/>
          <w:lang w:eastAsia="en-GB"/>
        </w:rPr>
        <w:t xml:space="preserve">neticilerinin en </w:t>
      </w:r>
      <w:r w:rsidRPr="00083DC8">
        <w:rPr>
          <w:rFonts w:ascii="Tw Cen MT" w:eastAsia="Times New Roman" w:hAnsi="Tw Cen MT" w:cs="Tw Cen MT"/>
          <w:color w:val="353535"/>
          <w:sz w:val="24"/>
          <w:szCs w:val="24"/>
          <w:lang w:eastAsia="en-GB"/>
        </w:rPr>
        <w:t>ö</w:t>
      </w:r>
      <w:r w:rsidRPr="00083DC8">
        <w:rPr>
          <w:rFonts w:ascii="Tw Cen MT" w:eastAsia="Times New Roman" w:hAnsi="Tw Cen MT" w:cs="Calibri"/>
          <w:color w:val="353535"/>
          <w:sz w:val="24"/>
          <w:szCs w:val="24"/>
          <w:lang w:eastAsia="en-GB"/>
        </w:rPr>
        <w:t>ncelikli ana g</w:t>
      </w:r>
      <w:r w:rsidRPr="00083DC8">
        <w:rPr>
          <w:rFonts w:ascii="Tw Cen MT" w:eastAsia="Times New Roman" w:hAnsi="Tw Cen MT" w:cs="Tw Cen MT"/>
          <w:color w:val="353535"/>
          <w:sz w:val="24"/>
          <w:szCs w:val="24"/>
          <w:lang w:eastAsia="en-GB"/>
        </w:rPr>
        <w:t>ö</w:t>
      </w:r>
      <w:r w:rsidRPr="00083DC8">
        <w:rPr>
          <w:rFonts w:ascii="Tw Cen MT" w:eastAsia="Times New Roman" w:hAnsi="Tw Cen MT" w:cs="Calibri"/>
          <w:color w:val="353535"/>
          <w:sz w:val="24"/>
          <w:szCs w:val="24"/>
          <w:lang w:eastAsia="en-GB"/>
        </w:rPr>
        <w:t>revi olmal</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d</w:t>
      </w:r>
      <w:r w:rsidRPr="00083DC8">
        <w:rPr>
          <w:rFonts w:ascii="Tw Cen MT" w:eastAsia="Times New Roman" w:hAnsi="Tw Cen MT" w:cs="Tw Cen MT"/>
          <w:color w:val="353535"/>
          <w:sz w:val="24"/>
          <w:szCs w:val="24"/>
          <w:lang w:eastAsia="en-GB"/>
        </w:rPr>
        <w:t>ı</w:t>
      </w:r>
      <w:r w:rsidRPr="00083DC8">
        <w:rPr>
          <w:rFonts w:ascii="Tw Cen MT" w:eastAsia="Times New Roman" w:hAnsi="Tw Cen MT" w:cs="Calibri"/>
          <w:color w:val="353535"/>
          <w:sz w:val="24"/>
          <w:szCs w:val="24"/>
          <w:lang w:eastAsia="en-GB"/>
        </w:rPr>
        <w:t xml:space="preserve">r.   </w:t>
      </w:r>
    </w:p>
    <w:p w14:paraId="15D05AA2" w14:textId="77777777" w:rsidR="00083DC8" w:rsidRPr="00083DC8" w:rsidRDefault="00083DC8" w:rsidP="00083DC8">
      <w:pPr>
        <w:shd w:val="clear" w:color="auto" w:fill="FFFFFF"/>
        <w:tabs>
          <w:tab w:val="left" w:pos="284"/>
        </w:tabs>
        <w:spacing w:before="100" w:beforeAutospacing="1" w:after="100" w:afterAutospacing="1" w:line="256" w:lineRule="auto"/>
        <w:ind w:left="284"/>
        <w:contextualSpacing/>
        <w:jc w:val="both"/>
        <w:rPr>
          <w:rFonts w:ascii="Tw Cen MT" w:eastAsia="Times New Roman" w:hAnsi="Tw Cen MT" w:cs="Calibri"/>
          <w:color w:val="353535"/>
          <w:sz w:val="24"/>
          <w:szCs w:val="24"/>
          <w:lang w:eastAsia="en-GB"/>
        </w:rPr>
      </w:pPr>
    </w:p>
    <w:p w14:paraId="7531C487" w14:textId="77777777" w:rsidR="00083DC8" w:rsidRPr="00083DC8" w:rsidRDefault="00083DC8" w:rsidP="00083DC8">
      <w:pPr>
        <w:numPr>
          <w:ilvl w:val="0"/>
          <w:numId w:val="15"/>
        </w:numPr>
        <w:shd w:val="clear" w:color="auto" w:fill="FFFFFF"/>
        <w:spacing w:before="100" w:beforeAutospacing="1" w:after="100" w:afterAutospacing="1" w:line="256" w:lineRule="auto"/>
        <w:ind w:left="284" w:hanging="284"/>
        <w:contextualSpacing/>
        <w:jc w:val="both"/>
        <w:rPr>
          <w:rFonts w:ascii="Tw Cen MT" w:eastAsia="Times New Roman" w:hAnsi="Tw Cen MT" w:cs="Calibri"/>
          <w:kern w:val="2"/>
          <w:sz w:val="24"/>
          <w:szCs w:val="24"/>
          <w:lang w:eastAsia="en-GB"/>
        </w:rPr>
      </w:pPr>
      <w:r w:rsidRPr="00083DC8">
        <w:rPr>
          <w:rFonts w:ascii="Tw Cen MT" w:eastAsia="Times New Roman" w:hAnsi="Tw Cen MT" w:cs="Calibri"/>
          <w:b/>
          <w:bCs/>
          <w:color w:val="002465"/>
          <w:kern w:val="2"/>
          <w:sz w:val="24"/>
          <w:szCs w:val="24"/>
          <w:lang w:eastAsia="en-GB"/>
        </w:rPr>
        <w:t>Gelişmekte olan piyasaların (</w:t>
      </w:r>
      <w:r w:rsidRPr="00083DC8">
        <w:rPr>
          <w:rFonts w:ascii="Tw Cen MT" w:eastAsia="Times New Roman" w:hAnsi="Tw Cen MT" w:cs="Calibri"/>
          <w:b/>
          <w:bCs/>
          <w:color w:val="002465"/>
          <w:kern w:val="2"/>
          <w:sz w:val="24"/>
          <w:szCs w:val="24"/>
          <w:lang w:val="en-GB" w:eastAsia="en-GB"/>
        </w:rPr>
        <w:t>Emerging Markets</w:t>
      </w:r>
      <w:r w:rsidRPr="00083DC8">
        <w:rPr>
          <w:rFonts w:ascii="Tw Cen MT" w:eastAsia="Times New Roman" w:hAnsi="Tw Cen MT" w:cs="Calibri"/>
          <w:b/>
          <w:bCs/>
          <w:color w:val="002465"/>
          <w:kern w:val="2"/>
          <w:sz w:val="24"/>
          <w:szCs w:val="24"/>
          <w:lang w:eastAsia="en-GB"/>
        </w:rPr>
        <w:t>) bir alt basama</w:t>
      </w:r>
      <w:r w:rsidRPr="00083DC8">
        <w:rPr>
          <w:rFonts w:eastAsia="Times New Roman" w:cs="Calibri"/>
          <w:b/>
          <w:bCs/>
          <w:color w:val="002465"/>
          <w:kern w:val="2"/>
          <w:sz w:val="24"/>
          <w:szCs w:val="24"/>
          <w:lang w:eastAsia="en-GB"/>
        </w:rPr>
        <w:t>ğ</w:t>
      </w:r>
      <w:r w:rsidRPr="00083DC8">
        <w:rPr>
          <w:rFonts w:ascii="Tw Cen MT" w:eastAsia="Times New Roman" w:hAnsi="Tw Cen MT" w:cs="Tw Cen MT"/>
          <w:b/>
          <w:bCs/>
          <w:color w:val="002465"/>
          <w:kern w:val="2"/>
          <w:sz w:val="24"/>
          <w:szCs w:val="24"/>
          <w:lang w:eastAsia="en-GB"/>
        </w:rPr>
        <w:t>ı</w:t>
      </w:r>
      <w:r w:rsidRPr="00083DC8">
        <w:rPr>
          <w:rFonts w:ascii="Tw Cen MT" w:eastAsia="Times New Roman" w:hAnsi="Tw Cen MT" w:cs="Calibri"/>
          <w:b/>
          <w:bCs/>
          <w:color w:val="002465"/>
          <w:kern w:val="2"/>
          <w:sz w:val="24"/>
          <w:szCs w:val="24"/>
          <w:lang w:eastAsia="en-GB"/>
        </w:rPr>
        <w:t xml:space="preserve"> olan s</w:t>
      </w:r>
      <w:r w:rsidRPr="00083DC8">
        <w:rPr>
          <w:rFonts w:ascii="Tw Cen MT" w:eastAsia="Times New Roman" w:hAnsi="Tw Cen MT" w:cs="Calibri"/>
          <w:b/>
          <w:bCs/>
          <w:color w:val="002465"/>
          <w:sz w:val="24"/>
          <w:szCs w:val="24"/>
          <w:lang w:eastAsia="en-GB"/>
        </w:rPr>
        <w:t>ınır piyasanın büyülü</w:t>
      </w:r>
      <w:r w:rsidRPr="00083DC8">
        <w:rPr>
          <w:rFonts w:eastAsia="Times New Roman" w:cs="Calibri"/>
          <w:b/>
          <w:bCs/>
          <w:color w:val="002465"/>
          <w:sz w:val="24"/>
          <w:szCs w:val="24"/>
          <w:lang w:eastAsia="en-GB"/>
        </w:rPr>
        <w:t>ğ</w:t>
      </w:r>
      <w:r w:rsidRPr="00083DC8">
        <w:rPr>
          <w:rFonts w:ascii="Tw Cen MT" w:eastAsia="Times New Roman" w:hAnsi="Tw Cen MT" w:cs="Tw Cen MT"/>
          <w:b/>
          <w:bCs/>
          <w:color w:val="002465"/>
          <w:sz w:val="24"/>
          <w:szCs w:val="24"/>
          <w:lang w:eastAsia="en-GB"/>
        </w:rPr>
        <w:t>ü</w:t>
      </w:r>
      <w:r w:rsidRPr="00083DC8">
        <w:rPr>
          <w:rFonts w:ascii="Tw Cen MT" w:eastAsia="Times New Roman" w:hAnsi="Tw Cen MT" w:cs="Calibri"/>
          <w:b/>
          <w:bCs/>
          <w:color w:val="002465"/>
          <w:sz w:val="24"/>
          <w:szCs w:val="24"/>
          <w:lang w:eastAsia="en-GB"/>
        </w:rPr>
        <w:t>nün Türk varlıkları açısından likidite ve hacim yönünden oldukça yetersiz kalaca</w:t>
      </w:r>
      <w:r w:rsidRPr="00083DC8">
        <w:rPr>
          <w:rFonts w:eastAsia="Times New Roman" w:cs="Calibri"/>
          <w:b/>
          <w:bCs/>
          <w:color w:val="002465"/>
          <w:sz w:val="24"/>
          <w:szCs w:val="24"/>
          <w:lang w:eastAsia="en-GB"/>
        </w:rPr>
        <w:t>ğ</w:t>
      </w:r>
      <w:r w:rsidRPr="00083DC8">
        <w:rPr>
          <w:rFonts w:ascii="Tw Cen MT" w:eastAsia="Times New Roman" w:hAnsi="Tw Cen MT" w:cs="Tw Cen MT"/>
          <w:b/>
          <w:bCs/>
          <w:color w:val="002465"/>
          <w:sz w:val="24"/>
          <w:szCs w:val="24"/>
          <w:lang w:eastAsia="en-GB"/>
        </w:rPr>
        <w:t>ı</w:t>
      </w:r>
      <w:r w:rsidRPr="00083DC8">
        <w:rPr>
          <w:rFonts w:ascii="Tw Cen MT" w:eastAsia="Times New Roman" w:hAnsi="Tw Cen MT" w:cs="Calibri"/>
          <w:b/>
          <w:bCs/>
          <w:color w:val="002465"/>
          <w:sz w:val="24"/>
          <w:szCs w:val="24"/>
          <w:lang w:eastAsia="en-GB"/>
        </w:rPr>
        <w:t xml:space="preserve"> gayet a</w:t>
      </w:r>
      <w:r w:rsidRPr="00083DC8">
        <w:rPr>
          <w:rFonts w:ascii="Tw Cen MT" w:eastAsia="Times New Roman" w:hAnsi="Tw Cen MT" w:cs="Tw Cen MT"/>
          <w:b/>
          <w:bCs/>
          <w:color w:val="002465"/>
          <w:sz w:val="24"/>
          <w:szCs w:val="24"/>
          <w:lang w:eastAsia="en-GB"/>
        </w:rPr>
        <w:t>çı</w:t>
      </w:r>
      <w:r w:rsidRPr="00083DC8">
        <w:rPr>
          <w:rFonts w:ascii="Tw Cen MT" w:eastAsia="Times New Roman" w:hAnsi="Tw Cen MT" w:cs="Calibri"/>
          <w:b/>
          <w:bCs/>
          <w:color w:val="002465"/>
          <w:sz w:val="24"/>
          <w:szCs w:val="24"/>
          <w:lang w:eastAsia="en-GB"/>
        </w:rPr>
        <w:t>kt</w:t>
      </w:r>
      <w:r w:rsidRPr="00083DC8">
        <w:rPr>
          <w:rFonts w:ascii="Tw Cen MT" w:eastAsia="Times New Roman" w:hAnsi="Tw Cen MT" w:cs="Tw Cen MT"/>
          <w:b/>
          <w:bCs/>
          <w:color w:val="002465"/>
          <w:sz w:val="24"/>
          <w:szCs w:val="24"/>
          <w:lang w:eastAsia="en-GB"/>
        </w:rPr>
        <w:t>ı</w:t>
      </w:r>
      <w:r w:rsidRPr="00083DC8">
        <w:rPr>
          <w:rFonts w:ascii="Tw Cen MT" w:eastAsia="Times New Roman" w:hAnsi="Tw Cen MT" w:cs="Calibri"/>
          <w:b/>
          <w:bCs/>
          <w:color w:val="002465"/>
          <w:sz w:val="24"/>
          <w:szCs w:val="24"/>
          <w:lang w:eastAsia="en-GB"/>
        </w:rPr>
        <w:t>r.</w:t>
      </w:r>
      <w:r w:rsidRPr="00083DC8">
        <w:rPr>
          <w:rFonts w:ascii="Tw Cen MT" w:eastAsia="Times New Roman" w:hAnsi="Tw Cen MT" w:cs="Calibri"/>
          <w:color w:val="002465"/>
          <w:sz w:val="24"/>
          <w:szCs w:val="24"/>
          <w:lang w:eastAsia="en-GB"/>
        </w:rPr>
        <w:t xml:space="preserve"> </w:t>
      </w:r>
      <w:r w:rsidRPr="00083DC8">
        <w:rPr>
          <w:rFonts w:ascii="Tw Cen MT" w:eastAsia="Times New Roman" w:hAnsi="Tw Cen MT" w:cs="Tw Cen MT"/>
          <w:color w:val="353535"/>
          <w:sz w:val="24"/>
          <w:szCs w:val="24"/>
          <w:lang w:eastAsia="en-GB"/>
        </w:rPr>
        <w:t>Çü</w:t>
      </w:r>
      <w:r w:rsidRPr="00083DC8">
        <w:rPr>
          <w:rFonts w:ascii="Tw Cen MT" w:eastAsia="Times New Roman" w:hAnsi="Tw Cen MT" w:cs="Calibri"/>
          <w:color w:val="353535"/>
          <w:sz w:val="24"/>
          <w:szCs w:val="24"/>
          <w:lang w:eastAsia="en-GB"/>
        </w:rPr>
        <w:t>nk</w:t>
      </w:r>
      <w:r w:rsidRPr="00083DC8">
        <w:rPr>
          <w:rFonts w:ascii="Tw Cen MT" w:eastAsia="Times New Roman" w:hAnsi="Tw Cen MT" w:cs="Tw Cen MT"/>
          <w:color w:val="353535"/>
          <w:sz w:val="24"/>
          <w:szCs w:val="24"/>
          <w:lang w:eastAsia="en-GB"/>
        </w:rPr>
        <w:t>ü</w:t>
      </w:r>
      <w:r w:rsidRPr="00083DC8">
        <w:rPr>
          <w:rFonts w:ascii="Tw Cen MT" w:eastAsia="Times New Roman" w:hAnsi="Tw Cen MT" w:cs="Calibri"/>
          <w:color w:val="353535"/>
          <w:sz w:val="24"/>
          <w:szCs w:val="24"/>
          <w:lang w:eastAsia="en-GB"/>
        </w:rPr>
        <w:t xml:space="preserve">, </w:t>
      </w:r>
      <w:r w:rsidRPr="00083DC8">
        <w:rPr>
          <w:rFonts w:ascii="Tw Cen MT" w:eastAsia="Times New Roman" w:hAnsi="Tw Cen MT" w:cs="Calibri"/>
          <w:sz w:val="24"/>
          <w:szCs w:val="24"/>
          <w:lang w:val="en-GB" w:eastAsia="en-GB"/>
        </w:rPr>
        <w:t>Frontier</w:t>
      </w:r>
      <w:r w:rsidRPr="00083DC8">
        <w:rPr>
          <w:rFonts w:ascii="Tw Cen MT" w:eastAsia="Times New Roman" w:hAnsi="Tw Cen MT" w:cs="Calibri"/>
          <w:sz w:val="24"/>
          <w:szCs w:val="24"/>
          <w:lang w:eastAsia="en-GB"/>
        </w:rPr>
        <w:t xml:space="preserve"> Market denilen sınır piyasalar, Gelişmekte olan ülkelere kıyasla, ekonomisi daha küçük, sermaye piyasalarının gelişimi daha az olan, likiditesi düşük ve dışarıdan yatırıma erişimi daha sınırlı olan az gelişmiş, hatta hiç gelişmemiş ülkelerin finansal pazarlarıdır.</w:t>
      </w:r>
      <w:r w:rsidRPr="00083DC8">
        <w:rPr>
          <w:rFonts w:ascii="Tw Cen MT" w:eastAsia="Times New Roman" w:hAnsi="Tw Cen MT" w:cs="Calibri"/>
          <w:color w:val="353535"/>
          <w:sz w:val="24"/>
          <w:szCs w:val="24"/>
          <w:lang w:eastAsia="en-GB"/>
        </w:rPr>
        <w:t xml:space="preserve"> B</w:t>
      </w:r>
      <w:r w:rsidRPr="00083DC8">
        <w:rPr>
          <w:rFonts w:ascii="Tw Cen MT" w:eastAsia="Times New Roman" w:hAnsi="Tw Cen MT" w:cs="Calibri"/>
          <w:kern w:val="2"/>
          <w:sz w:val="24"/>
          <w:szCs w:val="24"/>
          <w:lang w:eastAsia="en-GB"/>
        </w:rPr>
        <w:t>orsa endeksleri açısından Türkiye’nin bu gibi ülkelerle aynı statü içerinde girecek olma olasılı</w:t>
      </w:r>
      <w:r w:rsidRPr="00083DC8">
        <w:rPr>
          <w:rFonts w:eastAsia="Times New Roman" w:cs="Calibri"/>
          <w:kern w:val="2"/>
          <w:sz w:val="24"/>
          <w:szCs w:val="24"/>
          <w:lang w:eastAsia="en-GB"/>
        </w:rPr>
        <w:t>ğ</w:t>
      </w:r>
      <w:r w:rsidRPr="00083DC8">
        <w:rPr>
          <w:rFonts w:ascii="Tw Cen MT" w:eastAsia="Times New Roman" w:hAnsi="Tw Cen MT" w:cs="Tw Cen MT"/>
          <w:kern w:val="2"/>
          <w:sz w:val="24"/>
          <w:szCs w:val="24"/>
          <w:lang w:eastAsia="en-GB"/>
        </w:rPr>
        <w:t>ı</w:t>
      </w:r>
      <w:r w:rsidRPr="00083DC8">
        <w:rPr>
          <w:rFonts w:ascii="Tw Cen MT" w:eastAsia="Times New Roman" w:hAnsi="Tw Cen MT" w:cs="Calibri"/>
          <w:kern w:val="2"/>
          <w:sz w:val="24"/>
          <w:szCs w:val="24"/>
          <w:lang w:eastAsia="en-GB"/>
        </w:rPr>
        <w:t xml:space="preserve"> ise daha şimdiden finansal yönden itibar kırıcı bir algı yaratmaktadır. </w:t>
      </w:r>
    </w:p>
    <w:p w14:paraId="114D5A6B" w14:textId="77777777" w:rsidR="00083DC8" w:rsidRPr="00083DC8" w:rsidRDefault="00083DC8" w:rsidP="00083DC8">
      <w:pPr>
        <w:spacing w:after="160" w:line="259" w:lineRule="auto"/>
        <w:ind w:left="284"/>
        <w:contextualSpacing/>
        <w:jc w:val="both"/>
        <w:rPr>
          <w:rFonts w:ascii="Tw Cen MT" w:eastAsia="Times New Roman" w:hAnsi="Tw Cen MT" w:cs="Arial"/>
          <w:sz w:val="24"/>
          <w:szCs w:val="24"/>
          <w:lang w:eastAsia="en-GB"/>
        </w:rPr>
      </w:pPr>
    </w:p>
    <w:p w14:paraId="5F927996" w14:textId="428B0A32" w:rsidR="00083DC8" w:rsidRPr="00083DC8" w:rsidRDefault="00087AB1" w:rsidP="00083DC8">
      <w:pPr>
        <w:numPr>
          <w:ilvl w:val="0"/>
          <w:numId w:val="15"/>
        </w:numPr>
        <w:spacing w:after="160" w:line="259" w:lineRule="auto"/>
        <w:ind w:left="284" w:hanging="284"/>
        <w:contextualSpacing/>
        <w:jc w:val="both"/>
        <w:rPr>
          <w:rFonts w:ascii="Tw Cen MT" w:eastAsia="Times New Roman" w:hAnsi="Tw Cen MT" w:cs="Calibri"/>
          <w:sz w:val="24"/>
          <w:szCs w:val="24"/>
          <w:lang w:eastAsia="en-GB"/>
        </w:rPr>
      </w:pPr>
      <w:r w:rsidRPr="00087AB1">
        <w:rPr>
          <w:rFonts w:ascii="Tw Cen MT" w:eastAsiaTheme="minorHAnsi" w:hAnsi="Tw Cen MT" w:cs="Arial"/>
          <w:b/>
          <w:bCs/>
          <w:color w:val="002465"/>
          <w:sz w:val="24"/>
          <w:szCs w:val="24"/>
        </w:rPr>
        <w:t xml:space="preserve">Borsada izlenen üç temel göstergenin manipüle edilmesini zorlaştıracak uygulamaların ve düzenlemelerin bir an önce daha da etkinleştirilmesi halinde MSCI </w:t>
      </w:r>
      <w:r>
        <w:rPr>
          <w:rFonts w:ascii="Tw Cen MT" w:eastAsiaTheme="minorHAnsi" w:hAnsi="Tw Cen MT" w:cs="Arial"/>
          <w:b/>
          <w:bCs/>
          <w:color w:val="002465"/>
          <w:sz w:val="24"/>
          <w:szCs w:val="24"/>
        </w:rPr>
        <w:t xml:space="preserve">9 aylık süreyi beklemeden kararını pozitif yönde </w:t>
      </w:r>
      <w:r w:rsidRPr="00087AB1">
        <w:rPr>
          <w:rFonts w:ascii="Tw Cen MT" w:eastAsiaTheme="minorHAnsi" w:hAnsi="Tw Cen MT" w:cs="Arial"/>
          <w:b/>
          <w:bCs/>
          <w:color w:val="002465"/>
          <w:sz w:val="24"/>
          <w:szCs w:val="24"/>
        </w:rPr>
        <w:t>sonlandıracaktır.</w:t>
      </w:r>
      <w:r w:rsidRPr="00087AB1">
        <w:rPr>
          <w:rFonts w:ascii="Tw Cen MT" w:eastAsiaTheme="minorHAnsi" w:hAnsi="Tw Cen MT" w:cs="Arial"/>
          <w:color w:val="002465"/>
          <w:sz w:val="24"/>
          <w:szCs w:val="24"/>
        </w:rPr>
        <w:t xml:space="preserve"> </w:t>
      </w:r>
      <w:r w:rsidR="00083DC8" w:rsidRPr="00083DC8">
        <w:rPr>
          <w:rFonts w:ascii="Tw Cen MT" w:eastAsiaTheme="minorHAnsi" w:hAnsi="Tw Cen MT" w:cs="Arial"/>
          <w:sz w:val="24"/>
          <w:szCs w:val="24"/>
        </w:rPr>
        <w:t>Borsa da işlem gören hisselerin</w:t>
      </w:r>
      <w:r w:rsidR="00083DC8" w:rsidRPr="00083DC8">
        <w:rPr>
          <w:rFonts w:ascii="Tw Cen MT" w:eastAsiaTheme="minorHAnsi" w:hAnsi="Tw Cen MT" w:cs="Arial"/>
          <w:b/>
          <w:bCs/>
          <w:sz w:val="24"/>
          <w:szCs w:val="24"/>
        </w:rPr>
        <w:t xml:space="preserve"> “</w:t>
      </w:r>
      <w:r w:rsidR="00083DC8" w:rsidRPr="00083DC8">
        <w:rPr>
          <w:rFonts w:ascii="Tw Cen MT" w:eastAsiaTheme="minorHAnsi" w:hAnsi="Tw Cen MT" w:cs="Arial"/>
          <w:b/>
          <w:bCs/>
          <w:i/>
          <w:iCs/>
          <w:sz w:val="24"/>
          <w:szCs w:val="24"/>
          <w:u w:val="single"/>
        </w:rPr>
        <w:t>piyasa de</w:t>
      </w:r>
      <w:r w:rsidR="00083DC8" w:rsidRPr="00083DC8">
        <w:rPr>
          <w:rFonts w:eastAsiaTheme="minorHAnsi" w:cs="Calibri"/>
          <w:b/>
          <w:bCs/>
          <w:i/>
          <w:iCs/>
          <w:sz w:val="24"/>
          <w:szCs w:val="24"/>
          <w:u w:val="single"/>
        </w:rPr>
        <w:t>ğ</w:t>
      </w:r>
      <w:r w:rsidR="00083DC8" w:rsidRPr="00083DC8">
        <w:rPr>
          <w:rFonts w:ascii="Tw Cen MT" w:eastAsiaTheme="minorHAnsi" w:hAnsi="Tw Cen MT" w:cs="Arial"/>
          <w:b/>
          <w:bCs/>
          <w:i/>
          <w:iCs/>
          <w:sz w:val="24"/>
          <w:szCs w:val="24"/>
          <w:u w:val="single"/>
        </w:rPr>
        <w:t>eri</w:t>
      </w:r>
      <w:r w:rsidR="00083DC8" w:rsidRPr="00083DC8">
        <w:rPr>
          <w:rFonts w:ascii="Tw Cen MT" w:eastAsiaTheme="minorHAnsi" w:hAnsi="Tw Cen MT" w:cs="Arial"/>
          <w:sz w:val="24"/>
          <w:szCs w:val="24"/>
        </w:rPr>
        <w:t>”</w:t>
      </w:r>
      <w:r w:rsidR="00083DC8" w:rsidRPr="00083DC8">
        <w:rPr>
          <w:rFonts w:ascii="Tw Cen MT" w:eastAsiaTheme="minorHAnsi" w:hAnsi="Tw Cen MT" w:cstheme="minorBidi"/>
          <w:b/>
          <w:bCs/>
          <w:sz w:val="24"/>
          <w:szCs w:val="24"/>
        </w:rPr>
        <w:t>, “</w:t>
      </w:r>
      <w:r w:rsidR="00083DC8" w:rsidRPr="00083DC8">
        <w:rPr>
          <w:rFonts w:ascii="Tw Cen MT" w:eastAsiaTheme="minorHAnsi" w:hAnsi="Tw Cen MT" w:cs="Arial"/>
          <w:b/>
          <w:bCs/>
          <w:i/>
          <w:iCs/>
          <w:sz w:val="24"/>
          <w:szCs w:val="24"/>
          <w:u w:val="single"/>
        </w:rPr>
        <w:t>serbest dolaşım oranı</w:t>
      </w:r>
      <w:r w:rsidR="00083DC8" w:rsidRPr="00083DC8">
        <w:rPr>
          <w:rFonts w:ascii="Tw Cen MT" w:eastAsiaTheme="minorHAnsi" w:hAnsi="Tw Cen MT" w:cs="Arial"/>
          <w:sz w:val="24"/>
          <w:szCs w:val="24"/>
        </w:rPr>
        <w:t>”</w:t>
      </w:r>
      <w:r w:rsidR="00083DC8" w:rsidRPr="00083DC8">
        <w:rPr>
          <w:rFonts w:ascii="Tw Cen MT" w:eastAsiaTheme="minorHAnsi" w:hAnsi="Tw Cen MT" w:cstheme="minorBidi"/>
          <w:b/>
          <w:bCs/>
          <w:sz w:val="24"/>
          <w:szCs w:val="24"/>
        </w:rPr>
        <w:t xml:space="preserve"> ve “</w:t>
      </w:r>
      <w:r w:rsidR="00083DC8" w:rsidRPr="00083DC8">
        <w:rPr>
          <w:rFonts w:ascii="Tw Cen MT" w:eastAsiaTheme="minorHAnsi" w:hAnsi="Tw Cen MT" w:cs="Arial"/>
          <w:b/>
          <w:bCs/>
          <w:i/>
          <w:iCs/>
          <w:sz w:val="24"/>
          <w:szCs w:val="24"/>
          <w:u w:val="single"/>
        </w:rPr>
        <w:t>günlük işlem hacmi”</w:t>
      </w:r>
      <w:r w:rsidR="00083DC8" w:rsidRPr="00083DC8">
        <w:rPr>
          <w:rFonts w:ascii="Tw Cen MT" w:eastAsiaTheme="minorHAnsi" w:hAnsi="Tw Cen MT" w:cs="Arial"/>
          <w:sz w:val="24"/>
          <w:szCs w:val="24"/>
        </w:rPr>
        <w:t xml:space="preserve"> gibi üç temel göstergenin </w:t>
      </w:r>
      <w:r w:rsidR="00083DC8" w:rsidRPr="00083DC8">
        <w:rPr>
          <w:rFonts w:ascii="Tw Cen MT" w:eastAsiaTheme="minorHAnsi" w:hAnsi="Tw Cen MT" w:cstheme="minorBidi"/>
          <w:sz w:val="24"/>
          <w:szCs w:val="24"/>
        </w:rPr>
        <w:t>birbirini besleyen bir kısır döngü yaratarak manipüle edilmelerini engelleyecek düzenlemelerin, denetim ve uyarı mekanizmalarının ve uygulamaların oluşturularak fiilen hayata geçirilmesi MSCI ve di</w:t>
      </w:r>
      <w:r w:rsidR="00083DC8" w:rsidRPr="00083DC8">
        <w:rPr>
          <w:rFonts w:eastAsiaTheme="minorHAnsi" w:cs="Calibri"/>
          <w:sz w:val="24"/>
          <w:szCs w:val="24"/>
        </w:rPr>
        <w:t>ğ</w:t>
      </w:r>
      <w:r w:rsidR="00083DC8" w:rsidRPr="00083DC8">
        <w:rPr>
          <w:rFonts w:ascii="Tw Cen MT" w:eastAsiaTheme="minorHAnsi" w:hAnsi="Tw Cen MT" w:cs="Calibri"/>
          <w:sz w:val="24"/>
          <w:szCs w:val="24"/>
        </w:rPr>
        <w:t>er endeks hesaplay</w:t>
      </w:r>
      <w:r w:rsidR="00083DC8" w:rsidRPr="00083DC8">
        <w:rPr>
          <w:rFonts w:ascii="Tw Cen MT" w:eastAsiaTheme="minorHAnsi" w:hAnsi="Tw Cen MT" w:cs="Tw Cen MT"/>
          <w:sz w:val="24"/>
          <w:szCs w:val="24"/>
        </w:rPr>
        <w:t>ı</w:t>
      </w:r>
      <w:r w:rsidR="00083DC8" w:rsidRPr="00083DC8">
        <w:rPr>
          <w:rFonts w:ascii="Tw Cen MT" w:eastAsiaTheme="minorHAnsi" w:hAnsi="Tw Cen MT" w:cs="Calibri"/>
          <w:sz w:val="24"/>
          <w:szCs w:val="24"/>
        </w:rPr>
        <w:t>c</w:t>
      </w:r>
      <w:r w:rsidR="00083DC8" w:rsidRPr="00083DC8">
        <w:rPr>
          <w:rFonts w:ascii="Tw Cen MT" w:eastAsiaTheme="minorHAnsi" w:hAnsi="Tw Cen MT" w:cs="Tw Cen MT"/>
          <w:sz w:val="24"/>
          <w:szCs w:val="24"/>
        </w:rPr>
        <w:t>ı</w:t>
      </w:r>
      <w:r w:rsidR="00083DC8" w:rsidRPr="00083DC8">
        <w:rPr>
          <w:rFonts w:ascii="Tw Cen MT" w:eastAsiaTheme="minorHAnsi" w:hAnsi="Tw Cen MT" w:cs="Calibri"/>
          <w:sz w:val="24"/>
          <w:szCs w:val="24"/>
        </w:rPr>
        <w:t>lar</w:t>
      </w:r>
      <w:r w:rsidR="00083DC8" w:rsidRPr="00083DC8">
        <w:rPr>
          <w:rFonts w:ascii="Tw Cen MT" w:eastAsiaTheme="minorHAnsi" w:hAnsi="Tw Cen MT" w:cs="Tw Cen MT"/>
          <w:sz w:val="24"/>
          <w:szCs w:val="24"/>
        </w:rPr>
        <w:t>ı</w:t>
      </w:r>
      <w:r w:rsidR="00083DC8" w:rsidRPr="00083DC8">
        <w:rPr>
          <w:rFonts w:ascii="Tw Cen MT" w:eastAsiaTheme="minorHAnsi" w:hAnsi="Tw Cen MT" w:cs="Calibri"/>
          <w:sz w:val="24"/>
          <w:szCs w:val="24"/>
        </w:rPr>
        <w:t>n</w:t>
      </w:r>
      <w:r w:rsidR="00083DC8" w:rsidRPr="00083DC8">
        <w:rPr>
          <w:rFonts w:ascii="Tw Cen MT" w:eastAsiaTheme="minorHAnsi" w:hAnsi="Tw Cen MT" w:cs="Tw Cen MT"/>
          <w:sz w:val="24"/>
          <w:szCs w:val="24"/>
        </w:rPr>
        <w:t>ı</w:t>
      </w:r>
      <w:r w:rsidR="00083DC8" w:rsidRPr="00083DC8">
        <w:rPr>
          <w:rFonts w:ascii="Tw Cen MT" w:eastAsiaTheme="minorHAnsi" w:hAnsi="Tw Cen MT" w:cs="Calibri"/>
          <w:sz w:val="24"/>
          <w:szCs w:val="24"/>
        </w:rPr>
        <w:t>n temel istemleridir. Bu istemlerinin hızlıca yerine getirilmesi halinde Türkiye’nin izlemeden çıkarılaca</w:t>
      </w:r>
      <w:r w:rsidR="00083DC8" w:rsidRPr="00083DC8">
        <w:rPr>
          <w:rFonts w:eastAsiaTheme="minorHAnsi" w:cs="Calibri"/>
          <w:sz w:val="24"/>
          <w:szCs w:val="24"/>
        </w:rPr>
        <w:t>ğ</w:t>
      </w:r>
      <w:r w:rsidR="00083DC8" w:rsidRPr="00083DC8">
        <w:rPr>
          <w:rFonts w:ascii="Tw Cen MT" w:eastAsiaTheme="minorHAnsi" w:hAnsi="Tw Cen MT" w:cs="Tw Cen MT"/>
          <w:sz w:val="24"/>
          <w:szCs w:val="24"/>
        </w:rPr>
        <w:t>ı</w:t>
      </w:r>
      <w:r w:rsidR="00083DC8" w:rsidRPr="00083DC8">
        <w:rPr>
          <w:rFonts w:ascii="Tw Cen MT" w:eastAsiaTheme="minorHAnsi" w:hAnsi="Tw Cen MT" w:cs="Calibri"/>
          <w:sz w:val="24"/>
          <w:szCs w:val="24"/>
        </w:rPr>
        <w:t xml:space="preserve"> kesindir.  </w:t>
      </w:r>
    </w:p>
    <w:p w14:paraId="114F4A9C" w14:textId="77777777" w:rsidR="00083DC8" w:rsidRPr="00083DC8" w:rsidRDefault="00083DC8" w:rsidP="00083DC8">
      <w:pPr>
        <w:spacing w:after="160" w:line="259" w:lineRule="auto"/>
        <w:ind w:left="720"/>
        <w:contextualSpacing/>
        <w:rPr>
          <w:rFonts w:ascii="Tw Cen MT" w:eastAsia="Times New Roman" w:hAnsi="Tw Cen MT" w:cs="Arial"/>
          <w:b/>
          <w:bCs/>
          <w:sz w:val="24"/>
          <w:szCs w:val="24"/>
          <w:lang w:eastAsia="en-GB"/>
        </w:rPr>
      </w:pPr>
    </w:p>
    <w:p w14:paraId="29EDF15B" w14:textId="77777777" w:rsidR="00083DC8" w:rsidRPr="00083DC8" w:rsidRDefault="00083DC8" w:rsidP="00083DC8">
      <w:pPr>
        <w:numPr>
          <w:ilvl w:val="0"/>
          <w:numId w:val="15"/>
        </w:numPr>
        <w:spacing w:after="160" w:line="259" w:lineRule="auto"/>
        <w:ind w:left="284" w:hanging="284"/>
        <w:contextualSpacing/>
        <w:jc w:val="both"/>
        <w:rPr>
          <w:rFonts w:ascii="Tw Cen MT" w:eastAsia="Times New Roman" w:hAnsi="Tw Cen MT" w:cs="Calibri"/>
          <w:sz w:val="24"/>
          <w:szCs w:val="24"/>
          <w:lang w:eastAsia="en-GB"/>
        </w:rPr>
      </w:pPr>
      <w:r w:rsidRPr="00083DC8">
        <w:rPr>
          <w:rFonts w:ascii="Tw Cen MT" w:eastAsia="Times New Roman" w:hAnsi="Tw Cen MT" w:cs="Arial"/>
          <w:b/>
          <w:bCs/>
          <w:color w:val="002465"/>
          <w:sz w:val="24"/>
          <w:szCs w:val="24"/>
          <w:lang w:eastAsia="en-GB"/>
        </w:rPr>
        <w:t xml:space="preserve">Yeni rehber, krizin patlak vermesine neden olan matematiksel ve operasyonel manipülasyon alanlarını önemli ölçüde bloke edebilecek yeterlilikte olmakla beraber  yapısal ve yasal sorunları ve en önemlisi alışkanlıkları tamamen çözmekte yetersiz kalmaktadır: </w:t>
      </w:r>
      <w:r w:rsidRPr="00083DC8">
        <w:rPr>
          <w:rFonts w:ascii="Tw Cen MT" w:eastAsia="Times New Roman" w:hAnsi="Tw Cen MT" w:cs="Arial"/>
          <w:sz w:val="24"/>
          <w:szCs w:val="24"/>
          <w:lang w:eastAsia="en-GB"/>
        </w:rPr>
        <w:t>Sermaye Piyasası Kurulu'nun (SPK) 28 A</w:t>
      </w:r>
      <w:r w:rsidRPr="00083DC8">
        <w:rPr>
          <w:rFonts w:eastAsia="Times New Roman" w:cs="Calibri"/>
          <w:sz w:val="24"/>
          <w:szCs w:val="24"/>
          <w:lang w:eastAsia="en-GB"/>
        </w:rPr>
        <w:t>ğ</w:t>
      </w:r>
      <w:r w:rsidRPr="00083DC8">
        <w:rPr>
          <w:rFonts w:ascii="Tw Cen MT" w:eastAsia="Times New Roman" w:hAnsi="Tw Cen MT" w:cs="Arial"/>
          <w:sz w:val="24"/>
          <w:szCs w:val="24"/>
          <w:lang w:eastAsia="en-GB"/>
        </w:rPr>
        <w:t>ustos 2026'da yay</w:t>
      </w:r>
      <w:r w:rsidRPr="00083DC8">
        <w:rPr>
          <w:rFonts w:ascii="Tw Cen MT" w:eastAsia="Times New Roman" w:hAnsi="Tw Cen MT" w:cs="Tw Cen MT"/>
          <w:sz w:val="24"/>
          <w:szCs w:val="24"/>
          <w:lang w:eastAsia="en-GB"/>
        </w:rPr>
        <w:t>ı</w:t>
      </w:r>
      <w:r w:rsidRPr="00083DC8">
        <w:rPr>
          <w:rFonts w:ascii="Tw Cen MT" w:eastAsia="Times New Roman" w:hAnsi="Tw Cen MT" w:cs="Arial"/>
          <w:sz w:val="24"/>
          <w:szCs w:val="24"/>
          <w:lang w:eastAsia="en-GB"/>
        </w:rPr>
        <w:t>mlad</w:t>
      </w:r>
      <w:r w:rsidRPr="00083DC8">
        <w:rPr>
          <w:rFonts w:ascii="Tw Cen MT" w:eastAsia="Times New Roman" w:hAnsi="Tw Cen MT" w:cs="Tw Cen MT"/>
          <w:sz w:val="24"/>
          <w:szCs w:val="24"/>
          <w:lang w:eastAsia="en-GB"/>
        </w:rPr>
        <w:t>ı</w:t>
      </w:r>
      <w:r w:rsidRPr="00083DC8">
        <w:rPr>
          <w:rFonts w:eastAsia="Times New Roman" w:cs="Calibri"/>
          <w:sz w:val="24"/>
          <w:szCs w:val="24"/>
          <w:lang w:eastAsia="en-GB"/>
        </w:rPr>
        <w:t>ğ</w:t>
      </w:r>
      <w:r w:rsidRPr="00083DC8">
        <w:rPr>
          <w:rFonts w:ascii="Tw Cen MT" w:eastAsia="Times New Roman" w:hAnsi="Tw Cen MT" w:cs="Tw Cen MT"/>
          <w:sz w:val="24"/>
          <w:szCs w:val="24"/>
          <w:lang w:eastAsia="en-GB"/>
        </w:rPr>
        <w:t>ı</w:t>
      </w:r>
      <w:r w:rsidRPr="00083DC8">
        <w:rPr>
          <w:rFonts w:ascii="Tw Cen MT" w:eastAsia="Times New Roman" w:hAnsi="Tw Cen MT" w:cs="Arial"/>
          <w:sz w:val="24"/>
          <w:szCs w:val="24"/>
          <w:lang w:eastAsia="en-GB"/>
        </w:rPr>
        <w:t xml:space="preserve"> Fon Rehberi </w:t>
      </w:r>
      <w:hyperlink r:id="rId7" w:tgtFrame="_blank" w:history="1"/>
      <w:r w:rsidRPr="00083DC8">
        <w:rPr>
          <w:rFonts w:ascii="Tw Cen MT" w:eastAsia="Times New Roman" w:hAnsi="Tw Cen MT" w:cs="Arial"/>
          <w:sz w:val="24"/>
          <w:szCs w:val="24"/>
          <w:lang w:eastAsia="en-GB"/>
        </w:rPr>
        <w:t xml:space="preserve"> güncellemeleri ve Hazine ve Maliye Bakanlı</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ının müdahaleleri</w:t>
      </w:r>
      <w:r w:rsidRPr="00083DC8">
        <w:rPr>
          <w:rFonts w:ascii="Tw Cen MT" w:eastAsia="Times New Roman" w:hAnsi="Tw Cen MT" w:cs="Arial"/>
          <w:sz w:val="24"/>
          <w:szCs w:val="24"/>
          <w:lang w:eastAsia="en-GB"/>
        </w:rPr>
        <w:t>, atılan mevcut ad</w:t>
      </w:r>
      <w:r w:rsidRPr="00083DC8">
        <w:rPr>
          <w:rFonts w:ascii="Tw Cen MT" w:eastAsia="Times New Roman" w:hAnsi="Tw Cen MT" w:cs="Tw Cen MT"/>
          <w:sz w:val="24"/>
          <w:szCs w:val="24"/>
          <w:lang w:eastAsia="en-GB"/>
        </w:rPr>
        <w:t>ı</w:t>
      </w:r>
      <w:r w:rsidRPr="00083DC8">
        <w:rPr>
          <w:rFonts w:ascii="Tw Cen MT" w:eastAsia="Times New Roman" w:hAnsi="Tw Cen MT" w:cs="Arial"/>
          <w:sz w:val="24"/>
          <w:szCs w:val="24"/>
          <w:lang w:eastAsia="en-GB"/>
        </w:rPr>
        <w:t>mlar teknik ve matematiksel açıkları bloke edebilecek yeterlilikte oldu</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unu kabul edilmekle beraber</w:t>
      </w:r>
      <w:r w:rsidRPr="00083DC8">
        <w:rPr>
          <w:rFonts w:ascii="Tw Cen MT" w:eastAsia="Times New Roman" w:hAnsi="Tw Cen MT" w:cs="Arial"/>
          <w:sz w:val="24"/>
          <w:szCs w:val="24"/>
          <w:lang w:eastAsia="en-GB"/>
        </w:rPr>
        <w:t xml:space="preserve"> bundan sonraki dönemlerde yeniden bir başka kriz yaratacak yapısal ve yasal sorunları tamamen ve kökünden çözme yeterlili</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inde de</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ildir. Bu kapsamda SPK’nın mevcut son düzenlemeyle sı</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 xml:space="preserve"> hisseleri bir fona doldurarak fiyat manipülasyonları yapmayı önleyecek şekilde sı</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 xml:space="preserve"> hisse </w:t>
      </w:r>
      <w:r w:rsidRPr="00083DC8">
        <w:rPr>
          <w:rFonts w:ascii="Tw Cen MT" w:eastAsia="Times New Roman" w:hAnsi="Tw Cen MT" w:cs="Tw Cen MT"/>
          <w:sz w:val="24"/>
          <w:szCs w:val="24"/>
          <w:lang w:eastAsia="en-GB"/>
        </w:rPr>
        <w:t>ö</w:t>
      </w:r>
      <w:r w:rsidRPr="00083DC8">
        <w:rPr>
          <w:rFonts w:ascii="Tw Cen MT" w:eastAsia="Times New Roman" w:hAnsi="Tw Cen MT" w:cs="Calibri"/>
          <w:sz w:val="24"/>
          <w:szCs w:val="24"/>
          <w:lang w:eastAsia="en-GB"/>
        </w:rPr>
        <w:t>nleyicisinin devreye alınması, gizlilik ve bilgi asimetrisinin bitirilmesi, tek sahiplik yönetimi ve eksik sermaye ile çalışma gibi zafiyetlerin giderilmesi sa</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lanmakla beraber   y</w:t>
      </w:r>
      <w:r w:rsidRPr="00083DC8">
        <w:rPr>
          <w:rFonts w:ascii="Tw Cen MT" w:eastAsia="Times New Roman" w:hAnsi="Tw Cen MT" w:cs="Arial"/>
          <w:sz w:val="24"/>
          <w:szCs w:val="24"/>
          <w:lang w:eastAsia="en-GB"/>
        </w:rPr>
        <w:t>asal soruşturma hızı ve tekel yetkisinin, erken uyarı-denetim-raporlama şeffaflı</w:t>
      </w:r>
      <w:r w:rsidRPr="00083DC8">
        <w:rPr>
          <w:rFonts w:eastAsia="Times New Roman" w:cs="Calibri"/>
          <w:sz w:val="24"/>
          <w:szCs w:val="24"/>
          <w:lang w:eastAsia="en-GB"/>
        </w:rPr>
        <w:t>ğ</w:t>
      </w:r>
      <w:r w:rsidRPr="00083DC8">
        <w:rPr>
          <w:rFonts w:ascii="Tw Cen MT" w:eastAsia="Times New Roman" w:hAnsi="Tw Cen MT" w:cs="Tw Cen MT"/>
          <w:sz w:val="24"/>
          <w:szCs w:val="24"/>
          <w:lang w:eastAsia="en-GB"/>
        </w:rPr>
        <w:t>ı</w:t>
      </w:r>
      <w:r w:rsidRPr="00083DC8">
        <w:rPr>
          <w:rFonts w:ascii="Tw Cen MT" w:eastAsia="Times New Roman" w:hAnsi="Tw Cen MT" w:cs="Calibri"/>
          <w:sz w:val="24"/>
          <w:szCs w:val="24"/>
          <w:lang w:eastAsia="en-GB"/>
        </w:rPr>
        <w:t xml:space="preserve"> </w:t>
      </w:r>
      <w:r w:rsidRPr="00083DC8">
        <w:rPr>
          <w:rFonts w:ascii="Tw Cen MT" w:eastAsia="Times New Roman" w:hAnsi="Tw Cen MT" w:cs="Arial"/>
          <w:sz w:val="24"/>
          <w:szCs w:val="24"/>
          <w:lang w:eastAsia="en-GB"/>
        </w:rPr>
        <w:t xml:space="preserve"> sistemlerinin eksikli</w:t>
      </w:r>
      <w:r w:rsidRPr="00083DC8">
        <w:rPr>
          <w:rFonts w:eastAsia="Times New Roman" w:cs="Calibri"/>
          <w:sz w:val="24"/>
          <w:szCs w:val="24"/>
          <w:lang w:eastAsia="en-GB"/>
        </w:rPr>
        <w:t>ğ</w:t>
      </w:r>
      <w:r w:rsidRPr="00083DC8">
        <w:rPr>
          <w:rFonts w:ascii="Tw Cen MT" w:eastAsia="Times New Roman" w:hAnsi="Tw Cen MT" w:cs="Calibri"/>
          <w:sz w:val="24"/>
          <w:szCs w:val="24"/>
          <w:lang w:eastAsia="en-GB"/>
        </w:rPr>
        <w:t xml:space="preserve">inin, kamusal ve </w:t>
      </w:r>
      <w:proofErr w:type="spellStart"/>
      <w:r w:rsidRPr="00083DC8">
        <w:rPr>
          <w:rFonts w:ascii="Tw Cen MT" w:eastAsia="Times New Roman" w:hAnsi="Tw Cen MT" w:cs="Calibri"/>
          <w:sz w:val="24"/>
          <w:szCs w:val="24"/>
          <w:lang w:eastAsia="en-GB"/>
        </w:rPr>
        <w:t>Bist</w:t>
      </w:r>
      <w:proofErr w:type="spellEnd"/>
      <w:r w:rsidRPr="00083DC8">
        <w:rPr>
          <w:rFonts w:ascii="Tw Cen MT" w:eastAsia="Times New Roman" w:hAnsi="Tw Cen MT" w:cs="Calibri"/>
          <w:sz w:val="24"/>
          <w:szCs w:val="24"/>
          <w:lang w:eastAsia="en-GB"/>
        </w:rPr>
        <w:t xml:space="preserve"> 30 hisselerine dair ayırımcı istisnaların, meclis araştırma önergelerinin reddi gibi hususların devam etmesi; </w:t>
      </w:r>
      <w:r w:rsidRPr="00083DC8">
        <w:rPr>
          <w:rFonts w:ascii="Tw Cen MT" w:eastAsiaTheme="minorHAnsi" w:hAnsi="Tw Cen MT" w:cs="Arial"/>
          <w:sz w:val="24"/>
          <w:szCs w:val="24"/>
        </w:rPr>
        <w:t>sermaye piyasası suçlarıyla mücadeleyi kökten güçlendirecek yeni bir yasal düzenlemelerin</w:t>
      </w:r>
      <w:r w:rsidRPr="00083DC8">
        <w:rPr>
          <w:rFonts w:ascii="Tw Cen MT" w:eastAsiaTheme="minorHAnsi" w:hAnsi="Tw Cen MT" w:cs="Arial"/>
          <w:b/>
          <w:bCs/>
          <w:sz w:val="24"/>
          <w:szCs w:val="24"/>
        </w:rPr>
        <w:t xml:space="preserve"> </w:t>
      </w:r>
      <w:r w:rsidRPr="00083DC8">
        <w:rPr>
          <w:rFonts w:ascii="Tw Cen MT" w:eastAsia="Times New Roman" w:hAnsi="Tw Cen MT" w:cs="Calibri"/>
          <w:sz w:val="24"/>
          <w:szCs w:val="24"/>
          <w:lang w:eastAsia="en-GB"/>
        </w:rPr>
        <w:t xml:space="preserve">yapılmaması önemli bir eksikliklerdir. Bunların hızlıca giderilmesi denetim, raporlama ve erken uyarı sistemlerinin güçlendirilmesi gerekir.  </w:t>
      </w:r>
    </w:p>
    <w:p w14:paraId="2850E9C1" w14:textId="77777777" w:rsidR="00083DC8" w:rsidRPr="00083DC8" w:rsidRDefault="00083DC8" w:rsidP="00083DC8">
      <w:pPr>
        <w:spacing w:after="0" w:line="240" w:lineRule="auto"/>
        <w:ind w:left="720"/>
        <w:jc w:val="both"/>
        <w:rPr>
          <w:rFonts w:ascii="Tw Cen MT" w:eastAsia="Times New Roman" w:hAnsi="Tw Cen MT" w:cs="Arial"/>
          <w:sz w:val="24"/>
          <w:szCs w:val="24"/>
          <w:lang w:eastAsia="en-GB"/>
        </w:rPr>
      </w:pPr>
    </w:p>
    <w:p w14:paraId="257D9AF6" w14:textId="77777777" w:rsidR="00FB2E1F" w:rsidRPr="00083DC8" w:rsidRDefault="00FB2E1F" w:rsidP="00FB2E1F">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465"/>
          <w:sz w:val="24"/>
          <w:szCs w:val="24"/>
        </w:rPr>
        <w:t xml:space="preserve"> </w:t>
      </w:r>
      <w:r w:rsidRPr="00083DC8">
        <w:rPr>
          <w:rFonts w:ascii="Tw Cen MT" w:hAnsi="Tw Cen MT" w:cs="Calibri"/>
          <w:b/>
          <w:bCs/>
          <w:color w:val="002060"/>
          <w:sz w:val="24"/>
          <w:szCs w:val="24"/>
        </w:rPr>
        <w:t xml:space="preserve">              </w:t>
      </w:r>
    </w:p>
    <w:p w14:paraId="5EAEA456" w14:textId="77777777" w:rsidR="00FB2E1F" w:rsidRPr="00083DC8" w:rsidRDefault="00FB2E1F" w:rsidP="00FB2E1F">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060"/>
          <w:sz w:val="24"/>
          <w:szCs w:val="24"/>
        </w:rPr>
        <w:t xml:space="preserve">          W O R L D   R A T I N G </w:t>
      </w:r>
    </w:p>
    <w:p w14:paraId="6CE35054" w14:textId="77777777" w:rsidR="00FB2E1F" w:rsidRPr="00083DC8" w:rsidRDefault="00FB2E1F" w:rsidP="00FB2E1F">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060"/>
          <w:sz w:val="24"/>
          <w:szCs w:val="24"/>
        </w:rPr>
        <w:t xml:space="preserve">                Orhan ÖKMEN </w:t>
      </w:r>
    </w:p>
    <w:p w14:paraId="678DA598" w14:textId="77777777" w:rsidR="00FB2E1F" w:rsidRPr="00083DC8" w:rsidRDefault="00FB2E1F" w:rsidP="00FB2E1F">
      <w:pPr>
        <w:spacing w:after="0" w:line="240" w:lineRule="auto"/>
        <w:ind w:left="284" w:hanging="284"/>
        <w:rPr>
          <w:rFonts w:ascii="Tw Cen MT" w:hAnsi="Tw Cen MT" w:cs="Calibri"/>
          <w:b/>
          <w:bCs/>
          <w:color w:val="002060"/>
          <w:sz w:val="24"/>
          <w:szCs w:val="24"/>
        </w:rPr>
      </w:pPr>
      <w:r w:rsidRPr="00083DC8">
        <w:rPr>
          <w:rFonts w:ascii="Tw Cen MT" w:hAnsi="Tw Cen MT" w:cs="Calibri"/>
          <w:b/>
          <w:bCs/>
          <w:color w:val="002060"/>
          <w:sz w:val="24"/>
          <w:szCs w:val="24"/>
        </w:rPr>
        <w:t xml:space="preserve">                      Başkan  </w:t>
      </w:r>
    </w:p>
    <w:p w14:paraId="39B5ABFB" w14:textId="77777777" w:rsidR="00FB2E1F" w:rsidRPr="00083DC8" w:rsidRDefault="00FB2E1F" w:rsidP="00FB2E1F">
      <w:pPr>
        <w:spacing w:after="0" w:line="240" w:lineRule="auto"/>
        <w:ind w:left="284" w:hanging="284"/>
        <w:rPr>
          <w:rFonts w:ascii="Tw Cen MT" w:hAnsi="Tw Cen MT" w:cs="Calibri"/>
          <w:b/>
          <w:bCs/>
          <w:color w:val="002060"/>
          <w:sz w:val="24"/>
          <w:szCs w:val="24"/>
        </w:rPr>
      </w:pPr>
    </w:p>
    <w:p w14:paraId="7EA72D92" w14:textId="77777777" w:rsidR="00FB2E1F" w:rsidRPr="00083DC8" w:rsidRDefault="00FB2E1F" w:rsidP="00FB2E1F">
      <w:pPr>
        <w:spacing w:after="0" w:line="240" w:lineRule="auto"/>
        <w:ind w:left="284" w:hanging="284"/>
        <w:rPr>
          <w:rFonts w:ascii="Tw Cen MT" w:hAnsi="Tw Cen MT" w:cs="Calibri"/>
          <w:b/>
          <w:bCs/>
          <w:color w:val="002060"/>
          <w:sz w:val="24"/>
          <w:szCs w:val="24"/>
        </w:rPr>
      </w:pPr>
    </w:p>
    <w:p w14:paraId="1549E6C6" w14:textId="77777777" w:rsidR="00FB2E1F" w:rsidRPr="00083DC8" w:rsidRDefault="00FB2E1F" w:rsidP="00FB2E1F">
      <w:pPr>
        <w:spacing w:after="0" w:line="240" w:lineRule="auto"/>
        <w:ind w:left="284" w:hanging="284"/>
        <w:rPr>
          <w:rFonts w:ascii="Tw Cen MT" w:hAnsi="Tw Cen MT" w:cs="Calibri"/>
          <w:b/>
          <w:bCs/>
          <w:color w:val="002060"/>
          <w:sz w:val="24"/>
          <w:szCs w:val="24"/>
        </w:rPr>
      </w:pPr>
    </w:p>
    <w:sectPr w:rsidR="00FB2E1F" w:rsidRPr="00083DC8" w:rsidSect="00103226">
      <w:headerReference w:type="default" r:id="rId8"/>
      <w:footerReference w:type="default" r:id="rId9"/>
      <w:pgSz w:w="11906" w:h="16838"/>
      <w:pgMar w:top="49" w:right="1274" w:bottom="1701"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2C863" w14:textId="77777777" w:rsidR="007C1EC7" w:rsidRDefault="007C1EC7">
      <w:pPr>
        <w:spacing w:after="0" w:line="240" w:lineRule="auto"/>
      </w:pPr>
      <w:r>
        <w:separator/>
      </w:r>
    </w:p>
  </w:endnote>
  <w:endnote w:type="continuationSeparator" w:id="0">
    <w:p w14:paraId="2B16DFDF" w14:textId="77777777" w:rsidR="007C1EC7" w:rsidRDefault="007C1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4B0F" w14:textId="77777777" w:rsidR="00BB2878" w:rsidRPr="00BB2878" w:rsidRDefault="00BB2878" w:rsidP="00AB152D">
    <w:pPr>
      <w:pStyle w:val="Footer"/>
      <w:pBdr>
        <w:bottom w:val="single" w:sz="6" w:space="1" w:color="auto"/>
      </w:pBdr>
      <w:spacing w:after="0"/>
      <w:jc w:val="center"/>
      <w:rPr>
        <w:rFonts w:ascii="Bodoni MT Condensed" w:hAnsi="Bodoni MT Condensed"/>
        <w:b/>
        <w:color w:val="000066"/>
        <w:spacing w:val="20"/>
        <w:w w:val="150"/>
        <w:lang w:val="en-GB"/>
        <w14:shadow w14:blurRad="50800" w14:dist="38100" w14:dir="2700000" w14:sx="100000" w14:sy="100000" w14:kx="0" w14:ky="0" w14:algn="tl">
          <w14:srgbClr w14:val="000000">
            <w14:alpha w14:val="60000"/>
          </w14:srgbClr>
        </w14:shadow>
      </w:rPr>
    </w:pPr>
    <w:r w:rsidRPr="00BB2878">
      <w:rPr>
        <w:rFonts w:ascii="Bodoni MT Condensed" w:hAnsi="Bodoni MT Condensed"/>
        <w:b/>
        <w:color w:val="000066"/>
        <w:spacing w:val="20"/>
        <w:w w:val="150"/>
        <w:lang w:val="en-GB"/>
        <w14:shadow w14:blurRad="50800" w14:dist="38100" w14:dir="2700000" w14:sx="100000" w14:sy="100000" w14:kx="0" w14:ky="0" w14:algn="tl">
          <w14:srgbClr w14:val="000000">
            <w14:alpha w14:val="60000"/>
          </w14:srgbClr>
        </w14:shadow>
      </w:rPr>
      <w:t xml:space="preserve">Locally, Globally </w:t>
    </w:r>
  </w:p>
  <w:p w14:paraId="62802D6D" w14:textId="77777777" w:rsidR="00BB2878" w:rsidRPr="007D5848" w:rsidRDefault="00BB2878" w:rsidP="007F60C3">
    <w:pPr>
      <w:pStyle w:val="Footer"/>
      <w:spacing w:after="0" w:line="240" w:lineRule="auto"/>
      <w:jc w:val="both"/>
      <w:rPr>
        <w:color w:val="002060"/>
        <w:sz w:val="12"/>
        <w:szCs w:val="12"/>
        <w:lang w:val="en-GB"/>
      </w:rPr>
    </w:pPr>
    <w:r w:rsidRPr="007D5848">
      <w:rPr>
        <w:b/>
        <w:i/>
        <w:color w:val="002060"/>
        <w:sz w:val="12"/>
        <w:szCs w:val="12"/>
        <w:lang w:val="en-GB"/>
      </w:rPr>
      <w:t>Copyright ©</w:t>
    </w:r>
    <w:r w:rsidRPr="007D5848">
      <w:rPr>
        <w:b/>
        <w:i/>
        <w:color w:val="002060"/>
        <w:spacing w:val="-3"/>
        <w:sz w:val="12"/>
        <w:szCs w:val="12"/>
        <w:lang w:val="en-GB"/>
      </w:rPr>
      <w:t xml:space="preserve"> </w:t>
    </w:r>
    <w:r w:rsidRPr="007D5848">
      <w:rPr>
        <w:b/>
        <w:i/>
        <w:noProof/>
        <w:color w:val="002060"/>
        <w:sz w:val="12"/>
        <w:szCs w:val="12"/>
        <w:lang w:val="en-GB"/>
      </w:rPr>
      <w:t xml:space="preserve">2026 </w:t>
    </w:r>
    <w:r w:rsidRPr="007D5848">
      <w:rPr>
        <w:b/>
        <w:i/>
        <w:noProof/>
        <w:color w:val="002060"/>
        <w:spacing w:val="-4"/>
        <w:sz w:val="12"/>
        <w:szCs w:val="12"/>
        <w:lang w:val="en-GB"/>
      </w:rPr>
      <w:t xml:space="preserve"> </w:t>
    </w:r>
    <w:r w:rsidRPr="007D5848">
      <w:rPr>
        <w:b/>
        <w:i/>
        <w:noProof/>
        <w:color w:val="002060"/>
        <w:sz w:val="12"/>
        <w:szCs w:val="12"/>
        <w:lang w:val="en-GB"/>
      </w:rPr>
      <w:t>by World Rating.</w:t>
    </w:r>
    <w:r w:rsidRPr="007D5848">
      <w:rPr>
        <w:b/>
        <w:i/>
        <w:noProof/>
        <w:color w:val="002060"/>
        <w:spacing w:val="-1"/>
        <w:sz w:val="12"/>
        <w:szCs w:val="12"/>
        <w:lang w:val="en-GB"/>
      </w:rPr>
      <w:t xml:space="preserve"> </w:t>
    </w:r>
    <w:r w:rsidRPr="007D5848">
      <w:rPr>
        <w:rFonts w:cs="Calibri"/>
        <w:b/>
        <w:bCs/>
        <w:i/>
        <w:iCs/>
        <w:noProof/>
        <w:color w:val="002060"/>
        <w:sz w:val="12"/>
        <w:szCs w:val="12"/>
        <w:shd w:val="clear" w:color="auto" w:fill="FFFFFF"/>
        <w:lang w:val="en-GB"/>
      </w:rPr>
      <w:t>Akat Mahallesi, Nisbetiye Caddesi, Aysu Sokak, Ceylan Apartmanı No: 1/8 Beşiktaş,</w:t>
    </w:r>
    <w:r w:rsidRPr="007D5848">
      <w:rPr>
        <w:rFonts w:cs="Calibri"/>
        <w:b/>
        <w:bCs/>
        <w:i/>
        <w:iCs/>
        <w:color w:val="002060"/>
        <w:sz w:val="12"/>
        <w:szCs w:val="12"/>
        <w:shd w:val="clear" w:color="auto" w:fill="FFFFFF"/>
        <w:lang w:val="en-GB"/>
      </w:rPr>
      <w:t xml:space="preserve"> İstanbul, Türkiye. </w:t>
    </w:r>
    <w:r w:rsidRPr="007D5848">
      <w:rPr>
        <w:rFonts w:cs="Calibri"/>
        <w:b/>
        <w:bCs/>
        <w:i/>
        <w:iCs/>
        <w:color w:val="002060"/>
        <w:sz w:val="12"/>
        <w:szCs w:val="12"/>
        <w:lang w:val="en-GB"/>
      </w:rPr>
      <w:t>Te</w:t>
    </w:r>
    <w:r w:rsidRPr="007D5848">
      <w:rPr>
        <w:b/>
        <w:i/>
        <w:color w:val="002060"/>
        <w:sz w:val="12"/>
        <w:szCs w:val="12"/>
        <w:lang w:val="en-GB"/>
      </w:rPr>
      <w:t>lephone:</w:t>
    </w:r>
    <w:r w:rsidRPr="007D5848">
      <w:rPr>
        <w:b/>
        <w:i/>
        <w:color w:val="002060"/>
        <w:spacing w:val="-1"/>
        <w:sz w:val="12"/>
        <w:szCs w:val="12"/>
        <w:lang w:val="en-GB"/>
      </w:rPr>
      <w:t xml:space="preserve"> </w:t>
    </w:r>
    <w:r w:rsidRPr="007D5848">
      <w:rPr>
        <w:b/>
        <w:i/>
        <w:color w:val="002060"/>
        <w:sz w:val="12"/>
        <w:szCs w:val="12"/>
        <w:lang w:val="en-GB"/>
      </w:rPr>
      <w:t>+90(212)351 30 66,</w:t>
    </w:r>
    <w:r w:rsidRPr="007D5848">
      <w:rPr>
        <w:b/>
        <w:i/>
        <w:color w:val="002060"/>
        <w:spacing w:val="-4"/>
        <w:sz w:val="12"/>
        <w:szCs w:val="12"/>
        <w:lang w:val="en-GB"/>
      </w:rPr>
      <w:t xml:space="preserve"> </w:t>
    </w:r>
    <w:r w:rsidRPr="007D5848">
      <w:rPr>
        <w:b/>
        <w:i/>
        <w:color w:val="002060"/>
        <w:sz w:val="12"/>
        <w:szCs w:val="12"/>
        <w:lang w:val="en-GB"/>
      </w:rPr>
      <w:t>Fax:</w:t>
    </w:r>
    <w:r w:rsidRPr="007D5848">
      <w:rPr>
        <w:b/>
        <w:i/>
        <w:color w:val="002060"/>
        <w:spacing w:val="-1"/>
        <w:sz w:val="12"/>
        <w:szCs w:val="12"/>
        <w:lang w:val="en-GB"/>
      </w:rPr>
      <w:t xml:space="preserve"> </w:t>
    </w:r>
    <w:r w:rsidRPr="007D5848">
      <w:rPr>
        <w:b/>
        <w:i/>
        <w:color w:val="002060"/>
        <w:sz w:val="12"/>
        <w:szCs w:val="12"/>
        <w:lang w:val="en-GB"/>
      </w:rPr>
      <w:t>+90</w:t>
    </w:r>
    <w:r w:rsidRPr="007D5848">
      <w:rPr>
        <w:b/>
        <w:i/>
        <w:color w:val="002060"/>
        <w:spacing w:val="-4"/>
        <w:sz w:val="12"/>
        <w:szCs w:val="12"/>
        <w:lang w:val="en-GB"/>
      </w:rPr>
      <w:t xml:space="preserve"> </w:t>
    </w:r>
    <w:r w:rsidRPr="007D5848">
      <w:rPr>
        <w:b/>
        <w:i/>
        <w:color w:val="002060"/>
        <w:sz w:val="12"/>
        <w:szCs w:val="12"/>
        <w:lang w:val="en-GB"/>
      </w:rPr>
      <w:t>(212)</w:t>
    </w:r>
    <w:r w:rsidRPr="007D5848">
      <w:rPr>
        <w:b/>
        <w:i/>
        <w:color w:val="002060"/>
        <w:spacing w:val="-5"/>
        <w:sz w:val="12"/>
        <w:szCs w:val="12"/>
        <w:lang w:val="en-GB"/>
      </w:rPr>
      <w:t xml:space="preserve"> </w:t>
    </w:r>
    <w:r w:rsidRPr="007D5848">
      <w:rPr>
        <w:b/>
        <w:i/>
        <w:color w:val="002060"/>
        <w:sz w:val="12"/>
        <w:szCs w:val="12"/>
        <w:lang w:val="en-GB"/>
      </w:rPr>
      <w:t>351 30 65</w:t>
    </w:r>
    <w:r w:rsidRPr="007D5848">
      <w:rPr>
        <w:b/>
        <w:i/>
        <w:color w:val="002060"/>
        <w:spacing w:val="-4"/>
        <w:sz w:val="12"/>
        <w:szCs w:val="12"/>
        <w:lang w:val="en-GB"/>
      </w:rPr>
      <w:t xml:space="preserve"> </w:t>
    </w:r>
    <w:r w:rsidRPr="007D5848">
      <w:rPr>
        <w:b/>
        <w:i/>
        <w:color w:val="002060"/>
        <w:sz w:val="12"/>
        <w:szCs w:val="12"/>
        <w:lang w:val="en-GB"/>
      </w:rPr>
      <w:t>Reproduction is prohibited except by permission. All rights reserved. All information has been obtained from sources World Rating believes to be reliable. However, World Rating does not guarantee the truth, accuracy and adequacy of this information. World Rating ratings are objective and independent opinions as to the creditworthiness of a security and issuer and not to be considered a recommendation to buy, hold or sell any security or to issue a loan. This rating report has been composed within the methodologies registered with and certified by the SPK (CMB-Capital Markets Board of Turkey). This report also complies with the Banking Regulation and Supervision Agency (BRSA) and internationally accepted rating principles and guidelines, but is not subject to NRSRO regulations. www.worldrating.com.tr</w:t>
    </w:r>
  </w:p>
  <w:p w14:paraId="6A5BAA87" w14:textId="77777777" w:rsidR="00BB2878" w:rsidRPr="00BB2878" w:rsidRDefault="00BB2878" w:rsidP="0007623E">
    <w:pPr>
      <w:spacing w:after="0"/>
      <w:jc w:val="center"/>
      <w:rPr>
        <w:b/>
        <w:color w:val="000066"/>
        <w:sz w:val="19"/>
        <w:szCs w:val="19"/>
        <w14:shadow w14:blurRad="50800" w14:dist="38100" w14:dir="2700000" w14:sx="100000" w14:sy="100000" w14:kx="0" w14:ky="0" w14:algn="tl">
          <w14:srgbClr w14:val="000000">
            <w14:alpha w14:val="60000"/>
          </w14:srgbClr>
        </w14:shad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B50A9" w14:textId="77777777" w:rsidR="007C1EC7" w:rsidRDefault="007C1EC7">
      <w:pPr>
        <w:spacing w:after="0" w:line="240" w:lineRule="auto"/>
      </w:pPr>
      <w:r>
        <w:separator/>
      </w:r>
    </w:p>
  </w:footnote>
  <w:footnote w:type="continuationSeparator" w:id="0">
    <w:p w14:paraId="51FC519D" w14:textId="77777777" w:rsidR="007C1EC7" w:rsidRDefault="007C1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0CA9E" w14:textId="085BA8A7" w:rsidR="00BB2878" w:rsidRPr="007546EB" w:rsidRDefault="00000000" w:rsidP="007546EB">
    <w:pPr>
      <w:pStyle w:val="Header"/>
      <w:jc w:val="center"/>
    </w:pPr>
    <w:r>
      <w:rPr>
        <w:noProof/>
      </w:rPr>
      <w:pict w14:anchorId="601867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90861" o:spid="_x0000_s1025" type="#_x0000_t136" style="position:absolute;left:0;text-align:left;margin-left:0;margin-top:0;width:688.5pt;height:92.25pt;rotation:315;z-index:-251658752;mso-position-horizontal:center;mso-position-horizontal-relative:margin;mso-position-vertical:center;mso-position-vertical-relative:margin" o:allowincell="f" fillcolor="#b4c6e7" stroked="f">
          <v:fill opacity=".5"/>
          <v:textpath style="font-family:&quot;Tw Cen MT&quot;;font-size:80pt" string="WR-WORLD RATING"/>
          <w10:wrap anchorx="margin" anchory="margin"/>
        </v:shape>
      </w:pict>
    </w:r>
    <w:r w:rsidR="00BB2878" w:rsidRPr="00CF4CE8">
      <w:rPr>
        <w:noProof/>
      </w:rPr>
      <w:drawing>
        <wp:inline distT="0" distB="0" distL="0" distR="0" wp14:anchorId="2350A118" wp14:editId="5611EA70">
          <wp:extent cx="2828925" cy="619125"/>
          <wp:effectExtent l="0" t="0" r="9525" b="9525"/>
          <wp:docPr id="200173356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8925"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0369"/>
    <w:multiLevelType w:val="hybridMultilevel"/>
    <w:tmpl w:val="29609070"/>
    <w:lvl w:ilvl="0" w:tplc="B0A641E0">
      <w:start w:val="1"/>
      <w:numFmt w:val="bullet"/>
      <w:lvlText w:val=""/>
      <w:lvlJc w:val="left"/>
      <w:pPr>
        <w:ind w:left="720" w:hanging="360"/>
      </w:pPr>
      <w:rPr>
        <w:rFonts w:ascii="Symbol" w:hAnsi="Symbol"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A0C83"/>
    <w:multiLevelType w:val="hybridMultilevel"/>
    <w:tmpl w:val="804A103A"/>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E01E9"/>
    <w:multiLevelType w:val="hybridMultilevel"/>
    <w:tmpl w:val="CD06FD12"/>
    <w:lvl w:ilvl="0" w:tplc="7BE6BEA2">
      <w:start w:val="1"/>
      <w:numFmt w:val="bullet"/>
      <w:lvlText w:val=""/>
      <w:lvlJc w:val="left"/>
      <w:pPr>
        <w:ind w:left="720" w:hanging="360"/>
      </w:pPr>
      <w:rPr>
        <w:rFonts w:ascii="Symbol" w:hAnsi="Symbol" w:hint="default"/>
        <w:color w:val="4472C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3B755A1"/>
    <w:multiLevelType w:val="hybridMultilevel"/>
    <w:tmpl w:val="8B2C79A4"/>
    <w:lvl w:ilvl="0" w:tplc="7BE6BEA2">
      <w:start w:val="1"/>
      <w:numFmt w:val="bullet"/>
      <w:lvlText w:val=""/>
      <w:lvlJc w:val="left"/>
      <w:pPr>
        <w:ind w:left="720" w:hanging="360"/>
      </w:pPr>
      <w:rPr>
        <w:rFonts w:ascii="Symbol" w:hAnsi="Symbol" w:hint="default"/>
        <w:color w:val="4472C4"/>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A41D7F"/>
    <w:multiLevelType w:val="hybridMultilevel"/>
    <w:tmpl w:val="9E3CD00A"/>
    <w:lvl w:ilvl="0" w:tplc="B574BF0C">
      <w:start w:val="1"/>
      <w:numFmt w:val="bullet"/>
      <w:lvlText w:val=""/>
      <w:lvlJc w:val="left"/>
      <w:pPr>
        <w:ind w:left="720" w:hanging="360"/>
      </w:pPr>
      <w:rPr>
        <w:rFonts w:ascii="Symbol" w:hAnsi="Symbol" w:hint="default"/>
        <w:color w:val="004E9A"/>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DA60551"/>
    <w:multiLevelType w:val="hybridMultilevel"/>
    <w:tmpl w:val="39780E48"/>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F005B"/>
    <w:multiLevelType w:val="hybridMultilevel"/>
    <w:tmpl w:val="8CDAF36C"/>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C5B3A"/>
    <w:multiLevelType w:val="hybridMultilevel"/>
    <w:tmpl w:val="4CFCEB4C"/>
    <w:lvl w:ilvl="0" w:tplc="7BE6BEA2">
      <w:start w:val="1"/>
      <w:numFmt w:val="bullet"/>
      <w:lvlText w:val=""/>
      <w:lvlJc w:val="left"/>
      <w:pPr>
        <w:ind w:left="720" w:hanging="360"/>
      </w:pPr>
      <w:rPr>
        <w:rFonts w:ascii="Symbol" w:hAnsi="Symbol" w:hint="default"/>
        <w:color w:val="4472C4"/>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00A2509"/>
    <w:multiLevelType w:val="hybridMultilevel"/>
    <w:tmpl w:val="16726D6E"/>
    <w:lvl w:ilvl="0" w:tplc="7BE6BEA2">
      <w:start w:val="1"/>
      <w:numFmt w:val="bullet"/>
      <w:lvlText w:val=""/>
      <w:lvlJc w:val="left"/>
      <w:pPr>
        <w:ind w:left="720" w:hanging="360"/>
      </w:pPr>
      <w:rPr>
        <w:rFonts w:ascii="Symbol" w:hAnsi="Symbol" w:hint="default"/>
        <w:color w:val="4472C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459708E"/>
    <w:multiLevelType w:val="hybridMultilevel"/>
    <w:tmpl w:val="7F9AB2B4"/>
    <w:lvl w:ilvl="0" w:tplc="43E2CABA">
      <w:start w:val="1"/>
      <w:numFmt w:val="bullet"/>
      <w:lvlText w:val=""/>
      <w:lvlJc w:val="left"/>
      <w:pPr>
        <w:ind w:left="720" w:hanging="360"/>
      </w:pPr>
      <w:rPr>
        <w:rFonts w:ascii="Symbol" w:hAnsi="Symbol" w:hint="default"/>
        <w:color w:val="0024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C630AE"/>
    <w:multiLevelType w:val="hybridMultilevel"/>
    <w:tmpl w:val="A4002D44"/>
    <w:lvl w:ilvl="0" w:tplc="7BE6BEA2">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100942"/>
    <w:multiLevelType w:val="hybridMultilevel"/>
    <w:tmpl w:val="20B65982"/>
    <w:lvl w:ilvl="0" w:tplc="529C8456">
      <w:start w:val="1"/>
      <w:numFmt w:val="bullet"/>
      <w:lvlText w:val=""/>
      <w:lvlJc w:val="left"/>
      <w:pPr>
        <w:ind w:left="720" w:hanging="360"/>
      </w:pPr>
      <w:rPr>
        <w:rFonts w:ascii="Wingdings" w:hAnsi="Wingdings" w:hint="default"/>
        <w:b/>
        <w:bCs/>
        <w:color w:val="00206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661921"/>
    <w:multiLevelType w:val="hybridMultilevel"/>
    <w:tmpl w:val="758A8ED0"/>
    <w:lvl w:ilvl="0" w:tplc="B0A641E0">
      <w:start w:val="1"/>
      <w:numFmt w:val="bullet"/>
      <w:lvlText w:val=""/>
      <w:lvlJc w:val="left"/>
      <w:pPr>
        <w:ind w:left="720" w:hanging="360"/>
      </w:pPr>
      <w:rPr>
        <w:rFonts w:ascii="Symbol" w:hAnsi="Symbol" w:hint="default"/>
        <w:color w:val="4472C4" w:themeColor="accen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54D5FEE"/>
    <w:multiLevelType w:val="hybridMultilevel"/>
    <w:tmpl w:val="06400A68"/>
    <w:lvl w:ilvl="0" w:tplc="7BE6BEA2">
      <w:start w:val="1"/>
      <w:numFmt w:val="bullet"/>
      <w:lvlText w:val=""/>
      <w:lvlJc w:val="left"/>
      <w:pPr>
        <w:ind w:left="1004" w:hanging="360"/>
      </w:pPr>
      <w:rPr>
        <w:rFonts w:ascii="Symbol" w:hAnsi="Symbol" w:hint="default"/>
        <w:color w:val="4472C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79D664E3"/>
    <w:multiLevelType w:val="hybridMultilevel"/>
    <w:tmpl w:val="3B161980"/>
    <w:lvl w:ilvl="0" w:tplc="7BE6BEA2">
      <w:start w:val="1"/>
      <w:numFmt w:val="bullet"/>
      <w:lvlText w:val=""/>
      <w:lvlJc w:val="left"/>
      <w:pPr>
        <w:ind w:left="720" w:hanging="360"/>
      </w:pPr>
      <w:rPr>
        <w:rFonts w:ascii="Symbol" w:hAnsi="Symbol" w:hint="default"/>
        <w:color w:val="4472C4"/>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3151216">
    <w:abstractNumId w:val="11"/>
  </w:num>
  <w:num w:numId="2" w16cid:durableId="1774739757">
    <w:abstractNumId w:val="7"/>
  </w:num>
  <w:num w:numId="3" w16cid:durableId="1136991836">
    <w:abstractNumId w:val="10"/>
  </w:num>
  <w:num w:numId="4" w16cid:durableId="1770155250">
    <w:abstractNumId w:val="6"/>
  </w:num>
  <w:num w:numId="5" w16cid:durableId="1398629249">
    <w:abstractNumId w:val="1"/>
  </w:num>
  <w:num w:numId="6" w16cid:durableId="2068842808">
    <w:abstractNumId w:val="5"/>
  </w:num>
  <w:num w:numId="7" w16cid:durableId="1608544738">
    <w:abstractNumId w:val="13"/>
  </w:num>
  <w:num w:numId="8" w16cid:durableId="830874610">
    <w:abstractNumId w:val="3"/>
  </w:num>
  <w:num w:numId="9" w16cid:durableId="1808352580">
    <w:abstractNumId w:val="0"/>
  </w:num>
  <w:num w:numId="10" w16cid:durableId="2081439477">
    <w:abstractNumId w:val="4"/>
  </w:num>
  <w:num w:numId="11" w16cid:durableId="1513883706">
    <w:abstractNumId w:val="8"/>
  </w:num>
  <w:num w:numId="12" w16cid:durableId="1653102115">
    <w:abstractNumId w:val="14"/>
  </w:num>
  <w:num w:numId="13" w16cid:durableId="970866282">
    <w:abstractNumId w:val="2"/>
  </w:num>
  <w:num w:numId="14" w16cid:durableId="1282028367">
    <w:abstractNumId w:val="12"/>
  </w:num>
  <w:num w:numId="15" w16cid:durableId="6818606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78"/>
    <w:rsid w:val="00083DC8"/>
    <w:rsid w:val="00087AB1"/>
    <w:rsid w:val="00103226"/>
    <w:rsid w:val="001A4B1B"/>
    <w:rsid w:val="001B5CD6"/>
    <w:rsid w:val="00224367"/>
    <w:rsid w:val="00357F86"/>
    <w:rsid w:val="004B669F"/>
    <w:rsid w:val="007C1EC7"/>
    <w:rsid w:val="00953DF3"/>
    <w:rsid w:val="0098431B"/>
    <w:rsid w:val="00BB2878"/>
    <w:rsid w:val="00BF42E2"/>
    <w:rsid w:val="00C141F9"/>
    <w:rsid w:val="00D83B11"/>
    <w:rsid w:val="00DD3516"/>
    <w:rsid w:val="00DE14D0"/>
    <w:rsid w:val="00E44701"/>
    <w:rsid w:val="00E5107C"/>
    <w:rsid w:val="00FB2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DFBF"/>
  <w15:chartTrackingRefBased/>
  <w15:docId w15:val="{E9FE5358-8E84-4C87-AF4F-AF2F0E92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78"/>
    <w:pPr>
      <w:spacing w:after="200" w:line="276" w:lineRule="auto"/>
    </w:pPr>
    <w:rPr>
      <w:rFonts w:ascii="Calibri" w:eastAsia="Calibri" w:hAnsi="Calibri" w:cs="Times New Roman"/>
      <w:lang w:val="tr-TR"/>
    </w:rPr>
  </w:style>
  <w:style w:type="paragraph" w:styleId="Heading1">
    <w:name w:val="heading 1"/>
    <w:basedOn w:val="Normal"/>
    <w:next w:val="Normal"/>
    <w:link w:val="Heading1Char"/>
    <w:uiPriority w:val="9"/>
    <w:qFormat/>
    <w:rsid w:val="00BB28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28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28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28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28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28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8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8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8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8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28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28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28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28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28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8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8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878"/>
    <w:rPr>
      <w:rFonts w:eastAsiaTheme="majorEastAsia" w:cstheme="majorBidi"/>
      <w:color w:val="272727" w:themeColor="text1" w:themeTint="D8"/>
    </w:rPr>
  </w:style>
  <w:style w:type="paragraph" w:styleId="Title">
    <w:name w:val="Title"/>
    <w:basedOn w:val="Normal"/>
    <w:next w:val="Normal"/>
    <w:link w:val="TitleChar"/>
    <w:uiPriority w:val="10"/>
    <w:qFormat/>
    <w:rsid w:val="00BB28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8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8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8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878"/>
    <w:pPr>
      <w:spacing w:before="160"/>
      <w:jc w:val="center"/>
    </w:pPr>
    <w:rPr>
      <w:i/>
      <w:iCs/>
      <w:color w:val="404040" w:themeColor="text1" w:themeTint="BF"/>
    </w:rPr>
  </w:style>
  <w:style w:type="character" w:customStyle="1" w:styleId="QuoteChar">
    <w:name w:val="Quote Char"/>
    <w:basedOn w:val="DefaultParagraphFont"/>
    <w:link w:val="Quote"/>
    <w:uiPriority w:val="29"/>
    <w:rsid w:val="00BB2878"/>
    <w:rPr>
      <w:i/>
      <w:iCs/>
      <w:color w:val="404040" w:themeColor="text1" w:themeTint="BF"/>
    </w:rPr>
  </w:style>
  <w:style w:type="paragraph" w:styleId="ListParagraph">
    <w:name w:val="List Paragraph"/>
    <w:basedOn w:val="Normal"/>
    <w:uiPriority w:val="34"/>
    <w:qFormat/>
    <w:rsid w:val="00BB2878"/>
    <w:pPr>
      <w:ind w:left="720"/>
      <w:contextualSpacing/>
    </w:pPr>
  </w:style>
  <w:style w:type="character" w:styleId="IntenseEmphasis">
    <w:name w:val="Intense Emphasis"/>
    <w:basedOn w:val="DefaultParagraphFont"/>
    <w:uiPriority w:val="21"/>
    <w:qFormat/>
    <w:rsid w:val="00BB2878"/>
    <w:rPr>
      <w:i/>
      <w:iCs/>
      <w:color w:val="2F5496" w:themeColor="accent1" w:themeShade="BF"/>
    </w:rPr>
  </w:style>
  <w:style w:type="paragraph" w:styleId="IntenseQuote">
    <w:name w:val="Intense Quote"/>
    <w:basedOn w:val="Normal"/>
    <w:next w:val="Normal"/>
    <w:link w:val="IntenseQuoteChar"/>
    <w:uiPriority w:val="30"/>
    <w:qFormat/>
    <w:rsid w:val="00BB28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2878"/>
    <w:rPr>
      <w:i/>
      <w:iCs/>
      <w:color w:val="2F5496" w:themeColor="accent1" w:themeShade="BF"/>
    </w:rPr>
  </w:style>
  <w:style w:type="character" w:styleId="IntenseReference">
    <w:name w:val="Intense Reference"/>
    <w:basedOn w:val="DefaultParagraphFont"/>
    <w:uiPriority w:val="32"/>
    <w:qFormat/>
    <w:rsid w:val="00BB2878"/>
    <w:rPr>
      <w:b/>
      <w:bCs/>
      <w:smallCaps/>
      <w:color w:val="2F5496" w:themeColor="accent1" w:themeShade="BF"/>
      <w:spacing w:val="5"/>
    </w:rPr>
  </w:style>
  <w:style w:type="paragraph" w:styleId="Header">
    <w:name w:val="header"/>
    <w:basedOn w:val="Normal"/>
    <w:link w:val="HeaderChar"/>
    <w:uiPriority w:val="99"/>
    <w:unhideWhenUsed/>
    <w:rsid w:val="00BB2878"/>
    <w:pPr>
      <w:tabs>
        <w:tab w:val="center" w:pos="4536"/>
        <w:tab w:val="right" w:pos="9072"/>
      </w:tabs>
    </w:pPr>
  </w:style>
  <w:style w:type="character" w:customStyle="1" w:styleId="HeaderChar">
    <w:name w:val="Header Char"/>
    <w:basedOn w:val="DefaultParagraphFont"/>
    <w:link w:val="Header"/>
    <w:uiPriority w:val="99"/>
    <w:rsid w:val="00BB2878"/>
    <w:rPr>
      <w:rFonts w:ascii="Calibri" w:eastAsia="Calibri" w:hAnsi="Calibri" w:cs="Times New Roman"/>
      <w:lang w:val="tr-TR"/>
    </w:rPr>
  </w:style>
  <w:style w:type="paragraph" w:styleId="Footer">
    <w:name w:val="footer"/>
    <w:basedOn w:val="Normal"/>
    <w:link w:val="FooterChar"/>
    <w:uiPriority w:val="99"/>
    <w:unhideWhenUsed/>
    <w:rsid w:val="00BB2878"/>
    <w:pPr>
      <w:tabs>
        <w:tab w:val="center" w:pos="4536"/>
        <w:tab w:val="right" w:pos="9072"/>
      </w:tabs>
    </w:pPr>
  </w:style>
  <w:style w:type="character" w:customStyle="1" w:styleId="FooterChar">
    <w:name w:val="Footer Char"/>
    <w:basedOn w:val="DefaultParagraphFont"/>
    <w:link w:val="Footer"/>
    <w:uiPriority w:val="99"/>
    <w:rsid w:val="00BB2878"/>
    <w:rPr>
      <w:rFonts w:ascii="Calibri" w:eastAsia="Calibri" w:hAnsi="Calibri" w:cs="Times New Roman"/>
      <w:lang w:val="tr-TR"/>
    </w:rPr>
  </w:style>
  <w:style w:type="character" w:styleId="Emphasis">
    <w:name w:val="Emphasis"/>
    <w:uiPriority w:val="20"/>
    <w:qFormat/>
    <w:rsid w:val="00BB28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goto?url=CAESrwEB6zswFU16gbDoFBJe2p9R7W3CztZxdCBmTRqHTnP_FxmBxdtgrysHvSMZGkxVz_iATZAAzSH_iqXUafWZR4rilzNt5j7ufkdQcwbUILDoq3ntVWfD7wtJMG6GFSx3TjlPnkMypS5ZEh4tNFYWIP6ZBvLDnU5QLKhA_Rsw0AnETb61sARGIGDr60tS64Y86v5TS4hRdqh517QgEPmPRReGO_kKdcY70qTcXujqP7J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İnfo</cp:lastModifiedBy>
  <cp:revision>3</cp:revision>
  <dcterms:created xsi:type="dcterms:W3CDTF">2026-10-19T07:25:00Z</dcterms:created>
  <dcterms:modified xsi:type="dcterms:W3CDTF">2026-10-19T07:30:00Z</dcterms:modified>
</cp:coreProperties>
</file>